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4CD1" w14:textId="77777777" w:rsidR="00BF1E4F" w:rsidRPr="002B669E" w:rsidRDefault="00BF1E4F">
      <w:pPr>
        <w:rPr>
          <w:b/>
        </w:rPr>
      </w:pPr>
    </w:p>
    <w:p w14:paraId="42A508CD" w14:textId="504F7272" w:rsidR="00280903" w:rsidRPr="000325C5" w:rsidRDefault="00280903" w:rsidP="00280903">
      <w:pPr>
        <w:rPr>
          <w:b/>
          <w:bCs/>
        </w:rPr>
      </w:pPr>
      <w:r w:rsidRPr="000325C5">
        <w:rPr>
          <w:b/>
          <w:bCs/>
        </w:rPr>
        <w:t>Extraits de l’intervention de Stéphane Audoin-Rouzeau, EHESS/CAES le 14 novembre 2018</w:t>
      </w:r>
    </w:p>
    <w:p w14:paraId="5732073E" w14:textId="5A0D132A" w:rsidR="00280903" w:rsidRDefault="00280903" w:rsidP="00280903">
      <w:pPr>
        <w:rPr>
          <w:b/>
        </w:rPr>
      </w:pPr>
    </w:p>
    <w:p w14:paraId="0AA5BA82" w14:textId="4CCC5DA9" w:rsidR="00BF1E4F" w:rsidRPr="000325C5" w:rsidRDefault="00A01A13">
      <w:pPr>
        <w:rPr>
          <w:b/>
          <w:bCs/>
          <w:sz w:val="32"/>
          <w:szCs w:val="32"/>
        </w:rPr>
      </w:pPr>
      <w:r w:rsidRPr="000325C5">
        <w:rPr>
          <w:b/>
          <w:bCs/>
          <w:sz w:val="32"/>
          <w:szCs w:val="32"/>
        </w:rPr>
        <w:t>Questions sur l</w:t>
      </w:r>
      <w:r w:rsidR="00BF1E4F" w:rsidRPr="000325C5">
        <w:rPr>
          <w:b/>
          <w:bCs/>
          <w:sz w:val="32"/>
          <w:szCs w:val="32"/>
        </w:rPr>
        <w:t>e génocide des Tutsi rwandais (avril-juin-199</w:t>
      </w:r>
      <w:r w:rsidRPr="000325C5">
        <w:rPr>
          <w:b/>
          <w:bCs/>
          <w:sz w:val="32"/>
          <w:szCs w:val="32"/>
        </w:rPr>
        <w:t>4)</w:t>
      </w:r>
    </w:p>
    <w:p w14:paraId="12F0B2C5" w14:textId="77777777" w:rsidR="00BF1E4F" w:rsidRDefault="00BF1E4F"/>
    <w:p w14:paraId="44C75D81" w14:textId="77777777" w:rsidR="00840725" w:rsidRPr="00840725" w:rsidRDefault="00840725"/>
    <w:p w14:paraId="2EC4F224" w14:textId="77777777" w:rsidR="00320433" w:rsidRDefault="00320433" w:rsidP="00320433">
      <w:pPr>
        <w:jc w:val="both"/>
      </w:pPr>
    </w:p>
    <w:p w14:paraId="548A1B47" w14:textId="34EC39E0" w:rsidR="00320433" w:rsidRDefault="00320433" w:rsidP="00320433">
      <w:pPr>
        <w:jc w:val="both"/>
      </w:pPr>
      <w:r>
        <w:t xml:space="preserve">Le </w:t>
      </w:r>
      <w:r w:rsidR="002A6528" w:rsidRPr="002B669E">
        <w:rPr>
          <w:b/>
        </w:rPr>
        <w:t>génocide des Tutsi rwandais</w:t>
      </w:r>
      <w:r w:rsidR="00280903">
        <w:t xml:space="preserve"> est le</w:t>
      </w:r>
      <w:r>
        <w:t xml:space="preserve"> dernier génocide du XX</w:t>
      </w:r>
      <w:r w:rsidRPr="00D949FF">
        <w:rPr>
          <w:vertAlign w:val="superscript"/>
        </w:rPr>
        <w:t>e</w:t>
      </w:r>
      <w:r>
        <w:t xml:space="preserve"> siècle, un génocide </w:t>
      </w:r>
      <w:r w:rsidRPr="000351A8">
        <w:rPr>
          <w:i/>
        </w:rPr>
        <w:t>indiscutable</w:t>
      </w:r>
      <w:r>
        <w:t xml:space="preserve"> dont la </w:t>
      </w:r>
      <w:r w:rsidRPr="000351A8">
        <w:rPr>
          <w:i/>
        </w:rPr>
        <w:t>radicalité</w:t>
      </w:r>
      <w:r>
        <w:rPr>
          <w:i/>
        </w:rPr>
        <w:t>,</w:t>
      </w:r>
      <w:r>
        <w:t xml:space="preserve"> tout comme la </w:t>
      </w:r>
      <w:r w:rsidRPr="000351A8">
        <w:rPr>
          <w:i/>
        </w:rPr>
        <w:t>vitesse d’exécution</w:t>
      </w:r>
      <w:r>
        <w:rPr>
          <w:i/>
        </w:rPr>
        <w:t>,</w:t>
      </w:r>
      <w:r>
        <w:t xml:space="preserve"> sont frappantes. </w:t>
      </w:r>
    </w:p>
    <w:p w14:paraId="51456894" w14:textId="77777777" w:rsidR="00320433" w:rsidRDefault="00320433" w:rsidP="00320433">
      <w:pPr>
        <w:jc w:val="both"/>
      </w:pPr>
      <w:r>
        <w:t>Résumons-le en quelques phrases :</w:t>
      </w:r>
    </w:p>
    <w:p w14:paraId="6EC9E448" w14:textId="77777777" w:rsidR="00320433" w:rsidRDefault="00320433" w:rsidP="00320433">
      <w:pPr>
        <w:jc w:val="both"/>
      </w:pPr>
    </w:p>
    <w:p w14:paraId="52479B49" w14:textId="6CA69C7F" w:rsidR="00320433" w:rsidRDefault="00320433" w:rsidP="00320433">
      <w:pPr>
        <w:jc w:val="both"/>
      </w:pPr>
      <w:r>
        <w:t xml:space="preserve">L’immense massacre a commencé à Kigali dès le 6 avril au soir, lorsque s’est répandue la nouvelle de l’attentat perpétré contre l’avion du Président Habyarimana ; </w:t>
      </w:r>
    </w:p>
    <w:p w14:paraId="201D268C" w14:textId="77777777" w:rsidR="00320433" w:rsidRDefault="00320433" w:rsidP="00320433">
      <w:pPr>
        <w:jc w:val="both"/>
      </w:pPr>
    </w:p>
    <w:p w14:paraId="195C9956" w14:textId="77777777" w:rsidR="00320433" w:rsidRDefault="00320433" w:rsidP="00320433">
      <w:pPr>
        <w:ind w:left="1416"/>
        <w:jc w:val="both"/>
      </w:pPr>
      <w:r>
        <w:t xml:space="preserve">-Il  s’est ensuite étendu à grande vitesse lors de la journée du lendemain avant de se généraliser, sous la responsabilité du gouvernement intérimaire « Hutu power » formé les 8 et 9 avril, à la quasi totalité du pays. </w:t>
      </w:r>
    </w:p>
    <w:p w14:paraId="10732EDE" w14:textId="77777777" w:rsidR="00320433" w:rsidRDefault="00320433" w:rsidP="00320433">
      <w:pPr>
        <w:ind w:left="1416"/>
        <w:jc w:val="both"/>
      </w:pPr>
    </w:p>
    <w:p w14:paraId="2DD9BE16" w14:textId="77777777" w:rsidR="00320433" w:rsidRDefault="00320433" w:rsidP="00320433">
      <w:pPr>
        <w:ind w:left="1416"/>
        <w:jc w:val="both"/>
      </w:pPr>
      <w:r>
        <w:t xml:space="preserve">-Jusqu’à la fin du mois de juin, la communauté internationale </w:t>
      </w:r>
      <w:r w:rsidRPr="00193096">
        <w:rPr>
          <w:i/>
        </w:rPr>
        <w:t>n’intervient pas</w:t>
      </w:r>
      <w:r>
        <w:t xml:space="preserve"> (sinon pour exfiltrer les seuls ressortissants occidentaux) et se garde bien de prononcer le mot de « génocide ». </w:t>
      </w:r>
    </w:p>
    <w:p w14:paraId="155E17C1" w14:textId="77777777" w:rsidR="00320433" w:rsidRDefault="00320433" w:rsidP="00320433">
      <w:pPr>
        <w:ind w:left="1416"/>
        <w:jc w:val="both"/>
      </w:pPr>
    </w:p>
    <w:p w14:paraId="55C1FEB6" w14:textId="77777777" w:rsidR="00320433" w:rsidRDefault="00320433" w:rsidP="00320433">
      <w:pPr>
        <w:ind w:left="2832"/>
        <w:jc w:val="both"/>
      </w:pPr>
      <w:r>
        <w:t>*Pire : elle a très tôt retiré l’essentiel des forces de l’ONU présentes sur place dans le cadre de la MINUAR.</w:t>
      </w:r>
    </w:p>
    <w:p w14:paraId="0E555D6B" w14:textId="77777777" w:rsidR="00320433" w:rsidRDefault="00320433" w:rsidP="00320433">
      <w:pPr>
        <w:ind w:left="2832"/>
        <w:jc w:val="both"/>
      </w:pPr>
    </w:p>
    <w:p w14:paraId="7BED886A" w14:textId="77777777" w:rsidR="00320433" w:rsidRPr="008839CD" w:rsidRDefault="00320433" w:rsidP="00320433">
      <w:pPr>
        <w:ind w:left="2832"/>
        <w:jc w:val="both"/>
      </w:pPr>
      <w:r>
        <w:t>*L</w:t>
      </w:r>
      <w:r w:rsidRPr="008839CD">
        <w:t>e 22 juin</w:t>
      </w:r>
      <w:r>
        <w:t xml:space="preserve"> seulement</w:t>
      </w:r>
      <w:r w:rsidRPr="008839CD">
        <w:t xml:space="preserve">, la résolution 929 du Conseil de sécurité des Nations Unies </w:t>
      </w:r>
      <w:r>
        <w:t xml:space="preserve">permet, </w:t>
      </w:r>
      <w:r w:rsidRPr="008839CD">
        <w:t xml:space="preserve">sous la houlette de la </w:t>
      </w:r>
      <w:r>
        <w:t>France,</w:t>
      </w:r>
      <w:r w:rsidRPr="008839CD">
        <w:t xml:space="preserve"> le déclenchement de l’opération Turquoise afin de « mettre fin aux massacres partout où cela sera possible, éventuellement en utilisant la force ». </w:t>
      </w:r>
    </w:p>
    <w:p w14:paraId="629753B3" w14:textId="77777777" w:rsidR="00320433" w:rsidRDefault="00320433" w:rsidP="00320433">
      <w:pPr>
        <w:ind w:left="2832"/>
        <w:jc w:val="both"/>
      </w:pPr>
    </w:p>
    <w:p w14:paraId="6272EA58" w14:textId="7A89E993" w:rsidR="00320433" w:rsidRDefault="00320433" w:rsidP="00840725">
      <w:pPr>
        <w:jc w:val="both"/>
      </w:pPr>
      <w:r>
        <w:t xml:space="preserve">Dans les faits, le génocide est arrêté par la victoire militaire du Front Patriotique Rwandais début juillet, et par la fuite au Zaïre des Forces Armées Rwandaises : il n’y a que 300.000 survivants alors que l’on dénombre 800.000 victimes – davantage, peut-être – sur un pays de 6 millions d’habitants à l’origine. </w:t>
      </w:r>
    </w:p>
    <w:p w14:paraId="5D58CBD7" w14:textId="77777777" w:rsidR="00320433" w:rsidRPr="00320433" w:rsidRDefault="00320433" w:rsidP="00840725">
      <w:pPr>
        <w:jc w:val="both"/>
        <w:rPr>
          <w:color w:val="0000FF"/>
        </w:rPr>
      </w:pPr>
    </w:p>
    <w:p w14:paraId="4F219777" w14:textId="17D2AE1B" w:rsidR="00320433" w:rsidRPr="00896343" w:rsidRDefault="00320433" w:rsidP="00320433">
      <w:pPr>
        <w:jc w:val="both"/>
      </w:pPr>
      <w:r w:rsidRPr="00896343">
        <w:t xml:space="preserve">Les critiques faites de longue date à la politique française portent, en résumé, sur les </w:t>
      </w:r>
      <w:r>
        <w:t xml:space="preserve">7 </w:t>
      </w:r>
      <w:r w:rsidRPr="00896343">
        <w:t xml:space="preserve">points suivants : </w:t>
      </w:r>
    </w:p>
    <w:p w14:paraId="56BC8D11" w14:textId="77777777" w:rsidR="00320433" w:rsidRPr="00896343" w:rsidRDefault="00320433" w:rsidP="00320433">
      <w:pPr>
        <w:jc w:val="both"/>
      </w:pPr>
    </w:p>
    <w:p w14:paraId="1A7CA10A" w14:textId="357B2483" w:rsidR="00320433" w:rsidRPr="00896343" w:rsidRDefault="00320433" w:rsidP="00320433">
      <w:pPr>
        <w:ind w:left="700"/>
        <w:jc w:val="both"/>
      </w:pPr>
      <w:r>
        <w:t>1- Elles portent sur le s</w:t>
      </w:r>
      <w:r w:rsidRPr="00896343">
        <w:t xml:space="preserve">outien de la France au régime du président Habyarimana après le début de l’offensive du FPR en octobre 1990, et </w:t>
      </w:r>
      <w:r>
        <w:t>qui a pris</w:t>
      </w:r>
      <w:r w:rsidRPr="00896343">
        <w:t xml:space="preserve"> la forme d’une aide militaire très appuyée</w:t>
      </w:r>
      <w:r w:rsidR="00CB3720">
        <w:t xml:space="preserve"> (voir </w:t>
      </w:r>
      <w:r w:rsidR="00840725">
        <w:t>début 1993 !)</w:t>
      </w:r>
      <w:r w:rsidRPr="00896343">
        <w:t>.</w:t>
      </w:r>
    </w:p>
    <w:p w14:paraId="3A3ACAA2" w14:textId="77777777" w:rsidR="00320433" w:rsidRPr="00896343" w:rsidRDefault="00320433" w:rsidP="00320433">
      <w:pPr>
        <w:ind w:left="700"/>
        <w:jc w:val="both"/>
      </w:pPr>
    </w:p>
    <w:p w14:paraId="7C7C860F" w14:textId="7413E0D8" w:rsidR="00320433" w:rsidRPr="00896343" w:rsidRDefault="00320433" w:rsidP="00320433">
      <w:pPr>
        <w:ind w:left="700"/>
        <w:jc w:val="both"/>
      </w:pPr>
      <w:r>
        <w:t>2-</w:t>
      </w:r>
      <w:r w:rsidRPr="0088071E">
        <w:t xml:space="preserve"> </w:t>
      </w:r>
      <w:r>
        <w:t>Elles portent sur l’a</w:t>
      </w:r>
      <w:r w:rsidRPr="00896343">
        <w:t>veuglement</w:t>
      </w:r>
      <w:r>
        <w:t xml:space="preserve"> </w:t>
      </w:r>
      <w:r w:rsidRPr="00896343">
        <w:t>face aux massacres récurrents commis contre les Tutsi entre octobre 1990 et avril 1994</w:t>
      </w:r>
      <w:r>
        <w:t>,</w:t>
      </w:r>
      <w:r w:rsidRPr="00896343">
        <w:t xml:space="preserve"> et</w:t>
      </w:r>
      <w:r>
        <w:t xml:space="preserve"> sur</w:t>
      </w:r>
      <w:r w:rsidRPr="00896343">
        <w:t xml:space="preserve"> </w:t>
      </w:r>
      <w:r>
        <w:t>l’</w:t>
      </w:r>
      <w:r w:rsidRPr="00896343">
        <w:t>abs</w:t>
      </w:r>
      <w:r>
        <w:t xml:space="preserve">ence de prise en compte </w:t>
      </w:r>
      <w:r w:rsidRPr="00896343">
        <w:t xml:space="preserve">des renseignements transmis par plusieurs canaux et avertissant de la préparation, </w:t>
      </w:r>
      <w:r w:rsidRPr="00896343">
        <w:lastRenderedPageBreak/>
        <w:t>au sein des structures du pouvoir rwandaises, de massacres de grande ampleur susceptibles de déboucher sur un génocide.</w:t>
      </w:r>
    </w:p>
    <w:p w14:paraId="502FEC27" w14:textId="77777777" w:rsidR="00320433" w:rsidRPr="00896343" w:rsidRDefault="00320433" w:rsidP="00320433">
      <w:pPr>
        <w:ind w:left="700"/>
        <w:jc w:val="both"/>
      </w:pPr>
    </w:p>
    <w:p w14:paraId="59837400" w14:textId="77777777" w:rsidR="00320433" w:rsidRPr="00896343" w:rsidRDefault="00320433" w:rsidP="00320433">
      <w:pPr>
        <w:ind w:left="700"/>
        <w:jc w:val="both"/>
      </w:pPr>
      <w:r>
        <w:t>3-</w:t>
      </w:r>
      <w:r w:rsidRPr="0088071E">
        <w:t xml:space="preserve"> </w:t>
      </w:r>
      <w:r>
        <w:t>Elles portent sur l’</w:t>
      </w:r>
      <w:r w:rsidRPr="00896343">
        <w:t xml:space="preserve">aide directe </w:t>
      </w:r>
      <w:r>
        <w:t>apportée sur place (</w:t>
      </w:r>
      <w:r w:rsidRPr="00896343">
        <w:t>8 et 9 avril 1994</w:t>
      </w:r>
      <w:r>
        <w:t xml:space="preserve">) par l’ambassade de France </w:t>
      </w:r>
      <w:r w:rsidRPr="00896343">
        <w:t>à la formation du gouvernem</w:t>
      </w:r>
      <w:r>
        <w:t xml:space="preserve">ent intérimaire « Hutu Power » </w:t>
      </w:r>
      <w:r w:rsidRPr="00896343">
        <w:t xml:space="preserve">qui a orchestré le génocide. </w:t>
      </w:r>
    </w:p>
    <w:p w14:paraId="23060A0E" w14:textId="77777777" w:rsidR="00320433" w:rsidRPr="00896343" w:rsidRDefault="00320433" w:rsidP="00320433">
      <w:pPr>
        <w:jc w:val="both"/>
      </w:pPr>
    </w:p>
    <w:p w14:paraId="39BC7DB3" w14:textId="77777777" w:rsidR="00320433" w:rsidRPr="00896343" w:rsidRDefault="00320433" w:rsidP="00320433">
      <w:pPr>
        <w:ind w:left="700"/>
        <w:jc w:val="both"/>
      </w:pPr>
      <w:r>
        <w:t>4-</w:t>
      </w:r>
      <w:r w:rsidRPr="0088071E">
        <w:t xml:space="preserve"> </w:t>
      </w:r>
      <w:r>
        <w:t>Elles portent sur la r</w:t>
      </w:r>
      <w:r w:rsidRPr="00896343">
        <w:t>éception à Paris, le 27 avril 1994, du ministre des Affaires Etrangères du gou</w:t>
      </w:r>
      <w:r>
        <w:t>vernement intérimaire rwandais (</w:t>
      </w:r>
      <w:r w:rsidRPr="00896343">
        <w:t>alors qu’à cette date il est permis d’estimer à plusieurs centaines de milliers le nombre de victimes déjà exécutées</w:t>
      </w:r>
      <w:r>
        <w:t>)</w:t>
      </w:r>
      <w:r w:rsidRPr="00896343">
        <w:t xml:space="preserve">. </w:t>
      </w:r>
    </w:p>
    <w:p w14:paraId="0F2F01DD" w14:textId="77777777" w:rsidR="00320433" w:rsidRPr="00896343" w:rsidRDefault="00320433" w:rsidP="00320433">
      <w:pPr>
        <w:jc w:val="both"/>
      </w:pPr>
    </w:p>
    <w:p w14:paraId="196739DA" w14:textId="77777777" w:rsidR="00320433" w:rsidRDefault="00320433" w:rsidP="00320433">
      <w:pPr>
        <w:ind w:left="700" w:firstLine="8"/>
        <w:jc w:val="both"/>
      </w:pPr>
      <w:r>
        <w:t>5-</w:t>
      </w:r>
      <w:r w:rsidRPr="0088071E">
        <w:t xml:space="preserve"> </w:t>
      </w:r>
      <w:r>
        <w:t>Elles portent sur l’a</w:t>
      </w:r>
      <w:r w:rsidRPr="00896343">
        <w:t>mbiguïté fondamentale de l’opération Turquoise, dont tout indique qu’elle visait</w:t>
      </w:r>
      <w:r>
        <w:t xml:space="preserve"> initialement/parallèlement</w:t>
      </w:r>
      <w:r w:rsidRPr="00896343">
        <w:t xml:space="preserve"> une forme de co</w:t>
      </w:r>
      <w:r>
        <w:t>-</w:t>
      </w:r>
      <w:r w:rsidRPr="00896343">
        <w:t xml:space="preserve">belligérance avec le gouvernement intérimaire responsable du génocide </w:t>
      </w:r>
      <w:r>
        <w:t>(</w:t>
      </w:r>
      <w:r w:rsidRPr="00896343">
        <w:t>afin d</w:t>
      </w:r>
      <w:r>
        <w:t>e bloquer la progression du FPR), alors que</w:t>
      </w:r>
      <w:r w:rsidRPr="00896343">
        <w:t xml:space="preserve"> l’opération est présentée officiellement comme purement humanitaire dès l’origine. </w:t>
      </w:r>
    </w:p>
    <w:p w14:paraId="28232D60" w14:textId="77777777" w:rsidR="00320433" w:rsidRPr="00896343" w:rsidRDefault="00320433" w:rsidP="00320433">
      <w:pPr>
        <w:ind w:left="700" w:firstLine="8"/>
        <w:jc w:val="both"/>
      </w:pPr>
    </w:p>
    <w:p w14:paraId="689072CC" w14:textId="77777777" w:rsidR="00320433" w:rsidRPr="00896343" w:rsidRDefault="00320433" w:rsidP="00320433">
      <w:pPr>
        <w:ind w:left="700" w:firstLine="8"/>
        <w:jc w:val="both"/>
      </w:pPr>
      <w:r>
        <w:t>6-</w:t>
      </w:r>
      <w:r w:rsidRPr="0088071E">
        <w:t xml:space="preserve"> </w:t>
      </w:r>
      <w:r>
        <w:t>Elles portent sur l’a</w:t>
      </w:r>
      <w:r w:rsidRPr="00896343">
        <w:t xml:space="preserve">bsence de toute arrestation des responsables des massacres lors de leur fuite massive vers le Zaïre, alors que la frontière était tenue par les forces françaises de Turquoise. </w:t>
      </w:r>
    </w:p>
    <w:p w14:paraId="0890DB6C" w14:textId="77777777" w:rsidR="00320433" w:rsidRPr="00896343" w:rsidRDefault="00320433" w:rsidP="00320433">
      <w:pPr>
        <w:ind w:left="700" w:firstLine="8"/>
        <w:jc w:val="both"/>
      </w:pPr>
    </w:p>
    <w:p w14:paraId="383E7382" w14:textId="77777777" w:rsidR="00320433" w:rsidRPr="00896343" w:rsidRDefault="00320433" w:rsidP="00320433">
      <w:pPr>
        <w:ind w:left="700" w:firstLine="8"/>
        <w:jc w:val="both"/>
      </w:pPr>
      <w:r>
        <w:t>7-</w:t>
      </w:r>
      <w:r w:rsidRPr="0088071E">
        <w:t xml:space="preserve"> </w:t>
      </w:r>
      <w:r>
        <w:t>Elles portent enfin sur le r</w:t>
      </w:r>
      <w:r w:rsidRPr="00896343">
        <w:t xml:space="preserve">éarmement des forces génocidaires dans les camps zaïrois, alors même que s’était reconstituée en leur sein une structure politico-militaire </w:t>
      </w:r>
      <w:r>
        <w:t>génocidaire</w:t>
      </w:r>
      <w:r w:rsidRPr="00896343">
        <w:t xml:space="preserve">. </w:t>
      </w:r>
    </w:p>
    <w:p w14:paraId="3520BC24" w14:textId="77777777" w:rsidR="00BF1E4F" w:rsidRDefault="00BF1E4F" w:rsidP="00BF1E4F"/>
    <w:p w14:paraId="72323695" w14:textId="77777777" w:rsidR="00840725" w:rsidRPr="00840725" w:rsidRDefault="00840725" w:rsidP="00320433">
      <w:pPr>
        <w:jc w:val="both"/>
      </w:pPr>
      <w:r w:rsidRPr="00840725">
        <w:t>-Mais a</w:t>
      </w:r>
      <w:r w:rsidR="00320433" w:rsidRPr="00840725">
        <w:t xml:space="preserve">ussi importantes que soient les questions que l’on </w:t>
      </w:r>
      <w:r w:rsidR="00320433" w:rsidRPr="00840725">
        <w:rPr>
          <w:i/>
        </w:rPr>
        <w:t>doit</w:t>
      </w:r>
      <w:r w:rsidR="00320433" w:rsidRPr="00840725">
        <w:t xml:space="preserve"> poser sur la politique française au Rwanda en 1990-1995, ce dossier pourrait être </w:t>
      </w:r>
      <w:r w:rsidR="00320433" w:rsidRPr="00840725">
        <w:rPr>
          <w:i/>
        </w:rPr>
        <w:t>assez aisément refermé</w:t>
      </w:r>
      <w:r w:rsidR="00320433" w:rsidRPr="00840725">
        <w:t xml:space="preserve"> si les conditions</w:t>
      </w:r>
      <w:r w:rsidRPr="00840725">
        <w:t xml:space="preserve"> (archivistiques en particulier)</w:t>
      </w:r>
      <w:r w:rsidR="00320433" w:rsidRPr="00840725">
        <w:t xml:space="preserve"> étaient réunies. </w:t>
      </w:r>
    </w:p>
    <w:p w14:paraId="3AF0B5C8" w14:textId="77777777" w:rsidR="00840725" w:rsidRPr="00840725" w:rsidRDefault="00840725" w:rsidP="00320433">
      <w:pPr>
        <w:jc w:val="both"/>
      </w:pPr>
    </w:p>
    <w:p w14:paraId="3726EAA5" w14:textId="086E0579" w:rsidR="00320433" w:rsidRPr="00840725" w:rsidRDefault="00840725" w:rsidP="00320433">
      <w:pPr>
        <w:jc w:val="both"/>
      </w:pPr>
      <w:r w:rsidRPr="00840725">
        <w:t>En revanche, l</w:t>
      </w:r>
      <w:r w:rsidR="00320433" w:rsidRPr="00840725">
        <w:t xml:space="preserve">e dossier du génocide des Tutsi rwandais, perpétré entre avril et juillet 1994, </w:t>
      </w:r>
      <w:r w:rsidR="00320433" w:rsidRPr="00840725">
        <w:rPr>
          <w:i/>
        </w:rPr>
        <w:t>ne sera jamais  refermé</w:t>
      </w:r>
      <w:r w:rsidR="00320433" w:rsidRPr="00840725">
        <w:t xml:space="preserve"> et c’est pour cette raison que, comme chercheur, je m’intéresse à lui de manière prioritaire.</w:t>
      </w:r>
    </w:p>
    <w:p w14:paraId="48EFEB69" w14:textId="77777777" w:rsidR="00320433" w:rsidRDefault="00320433" w:rsidP="00320433">
      <w:pPr>
        <w:jc w:val="both"/>
      </w:pPr>
    </w:p>
    <w:p w14:paraId="1A839F1A" w14:textId="7E5995BF" w:rsidR="00AA72D0" w:rsidRPr="00320433" w:rsidRDefault="00840725" w:rsidP="00AA72D0">
      <w:pPr>
        <w:rPr>
          <w:color w:val="0000FF"/>
        </w:rPr>
      </w:pPr>
      <w:r>
        <w:rPr>
          <w:color w:val="0000FF"/>
        </w:rPr>
        <w:t>-</w:t>
      </w:r>
      <w:r w:rsidR="00320433" w:rsidRPr="00320433">
        <w:rPr>
          <w:color w:val="0000FF"/>
        </w:rPr>
        <w:t xml:space="preserve">Et </w:t>
      </w:r>
      <w:r>
        <w:rPr>
          <w:color w:val="0000FF"/>
        </w:rPr>
        <w:t>là</w:t>
      </w:r>
      <w:r w:rsidR="00320433" w:rsidRPr="00320433">
        <w:rPr>
          <w:color w:val="0000FF"/>
        </w:rPr>
        <w:t xml:space="preserve">, deux questions me paraissent particulièrement </w:t>
      </w:r>
      <w:r w:rsidRPr="00320433">
        <w:rPr>
          <w:color w:val="0000FF"/>
        </w:rPr>
        <w:t>difficiles</w:t>
      </w:r>
      <w:r>
        <w:rPr>
          <w:color w:val="0000FF"/>
        </w:rPr>
        <w:t xml:space="preserve">, </w:t>
      </w:r>
      <w:r w:rsidRPr="00320433">
        <w:rPr>
          <w:color w:val="0000FF"/>
        </w:rPr>
        <w:t xml:space="preserve"> </w:t>
      </w:r>
      <w:r>
        <w:rPr>
          <w:color w:val="0000FF"/>
        </w:rPr>
        <w:t>si « résistantes » qu’elles sont</w:t>
      </w:r>
      <w:r w:rsidR="00320433" w:rsidRPr="00320433">
        <w:rPr>
          <w:color w:val="0000FF"/>
        </w:rPr>
        <w:t xml:space="preserve"> peut-être hors </w:t>
      </w:r>
      <w:r>
        <w:rPr>
          <w:color w:val="0000FF"/>
        </w:rPr>
        <w:t>de portée</w:t>
      </w:r>
      <w:r w:rsidR="00320433" w:rsidRPr="00320433">
        <w:rPr>
          <w:color w:val="0000FF"/>
        </w:rPr>
        <w:t xml:space="preserve"> des sciences sociales telles qu’elles existent aujourd’hui</w:t>
      </w:r>
    </w:p>
    <w:p w14:paraId="7FD4A741" w14:textId="77777777" w:rsidR="00842D85" w:rsidRDefault="00AA72D0" w:rsidP="00AA72D0">
      <w:pPr>
        <w:rPr>
          <w:color w:val="0000FF"/>
        </w:rPr>
      </w:pPr>
      <w:r w:rsidRPr="00320433">
        <w:rPr>
          <w:color w:val="0000FF"/>
        </w:rPr>
        <w:tab/>
      </w:r>
      <w:r w:rsidRPr="00320433">
        <w:rPr>
          <w:color w:val="0000FF"/>
        </w:rPr>
        <w:tab/>
      </w:r>
    </w:p>
    <w:p w14:paraId="4DD2C396" w14:textId="1C216093" w:rsidR="00840725" w:rsidRDefault="00320433" w:rsidP="00AA72D0">
      <w:pPr>
        <w:rPr>
          <w:color w:val="0000FF"/>
        </w:rPr>
      </w:pPr>
      <w:r w:rsidRPr="00320433">
        <w:rPr>
          <w:b/>
          <w:color w:val="0000FF"/>
        </w:rPr>
        <w:t>1</w:t>
      </w:r>
      <w:r w:rsidR="00AA72D0" w:rsidRPr="00320433">
        <w:rPr>
          <w:color w:val="0000FF"/>
        </w:rPr>
        <w:t xml:space="preserve">-La violence des voisins. </w:t>
      </w:r>
      <w:r w:rsidR="004C5E96" w:rsidRPr="00320433">
        <w:rPr>
          <w:color w:val="0000FF"/>
        </w:rPr>
        <w:t xml:space="preserve">  </w:t>
      </w:r>
    </w:p>
    <w:p w14:paraId="4782B9E6" w14:textId="77777777" w:rsidR="00842D85" w:rsidRDefault="00842D85" w:rsidP="00842D85">
      <w:pPr>
        <w:rPr>
          <w:b/>
          <w:color w:val="0000FF"/>
        </w:rPr>
      </w:pPr>
    </w:p>
    <w:p w14:paraId="467B7745" w14:textId="29A62D6E" w:rsidR="002B669E" w:rsidRPr="00320433" w:rsidRDefault="00320433" w:rsidP="00842D85">
      <w:pPr>
        <w:rPr>
          <w:color w:val="0000FF"/>
        </w:rPr>
      </w:pPr>
      <w:r w:rsidRPr="00320433">
        <w:rPr>
          <w:b/>
          <w:color w:val="0000FF"/>
        </w:rPr>
        <w:t>2</w:t>
      </w:r>
      <w:r w:rsidR="00AA72D0" w:rsidRPr="00320433">
        <w:rPr>
          <w:color w:val="0000FF"/>
        </w:rPr>
        <w:t xml:space="preserve">-Le massacre dans les lieux sacrés et la </w:t>
      </w:r>
      <w:r w:rsidR="004C5E96" w:rsidRPr="00320433">
        <w:rPr>
          <w:color w:val="0000FF"/>
        </w:rPr>
        <w:t>question du rôle du religieux dans l’accomplissement du génocide…</w:t>
      </w:r>
      <w:r w:rsidR="00AA72D0" w:rsidRPr="00320433">
        <w:rPr>
          <w:color w:val="0000FF"/>
        </w:rPr>
        <w:t xml:space="preserve"> </w:t>
      </w:r>
    </w:p>
    <w:p w14:paraId="099B6F35" w14:textId="77777777" w:rsidR="002B669E" w:rsidRDefault="002B669E" w:rsidP="00AA72D0"/>
    <w:p w14:paraId="6729A9ED" w14:textId="77777777" w:rsidR="00840725" w:rsidRDefault="00840725" w:rsidP="00AA72D0">
      <w:pPr>
        <w:rPr>
          <w:b/>
        </w:rPr>
      </w:pPr>
    </w:p>
    <w:p w14:paraId="4468E88D" w14:textId="77777777" w:rsidR="00840725" w:rsidRDefault="00840725" w:rsidP="00AA72D0">
      <w:pPr>
        <w:rPr>
          <w:b/>
        </w:rPr>
      </w:pPr>
    </w:p>
    <w:p w14:paraId="53D9600D" w14:textId="30768345" w:rsidR="008A3BFE" w:rsidRPr="008A3BFE" w:rsidRDefault="00320433" w:rsidP="00AA72D0">
      <w:pPr>
        <w:rPr>
          <w:b/>
        </w:rPr>
      </w:pPr>
      <w:r>
        <w:rPr>
          <w:b/>
        </w:rPr>
        <w:t>1</w:t>
      </w:r>
      <w:r w:rsidR="000E713F" w:rsidRPr="008A3BFE">
        <w:rPr>
          <w:b/>
        </w:rPr>
        <w:t>-</w:t>
      </w:r>
      <w:r w:rsidR="00842D85">
        <w:rPr>
          <w:b/>
        </w:rPr>
        <w:t xml:space="preserve"> </w:t>
      </w:r>
      <w:r w:rsidR="000E713F" w:rsidRPr="008A3BFE">
        <w:rPr>
          <w:b/>
        </w:rPr>
        <w:t>La violence des voisins.</w:t>
      </w:r>
    </w:p>
    <w:p w14:paraId="5546C357" w14:textId="77777777" w:rsidR="00184B84" w:rsidRDefault="00184B84" w:rsidP="00184B84">
      <w:pPr>
        <w:spacing w:line="360" w:lineRule="auto"/>
        <w:jc w:val="both"/>
      </w:pPr>
    </w:p>
    <w:p w14:paraId="16C0BAAC" w14:textId="68ECCE65" w:rsidR="00184B84" w:rsidRDefault="008A3BFE" w:rsidP="00184B84">
      <w:pPr>
        <w:jc w:val="both"/>
      </w:pPr>
      <w:r w:rsidRPr="00E90874">
        <w:t>La violence des voisins au Rwanda – violence extrême à l’encontre des victimes, violence massive en termes de nombre de tués</w:t>
      </w:r>
      <w:r>
        <w:t xml:space="preserve">, en termes </w:t>
      </w:r>
      <w:r w:rsidRPr="00E90874">
        <w:t xml:space="preserve">de nombre de tueurs – rien n’est plus difficile que d’en reconnaître </w:t>
      </w:r>
      <w:r>
        <w:t>la réalité tout entière et d’en mesurer toutes les conséquences</w:t>
      </w:r>
      <w:r w:rsidRPr="00E90874">
        <w:t xml:space="preserve">. </w:t>
      </w:r>
    </w:p>
    <w:p w14:paraId="7AC618B2" w14:textId="77777777" w:rsidR="008A3BFE" w:rsidRPr="00E90874" w:rsidRDefault="008A3BFE" w:rsidP="00184B84">
      <w:pPr>
        <w:jc w:val="both"/>
      </w:pPr>
    </w:p>
    <w:p w14:paraId="09D2E9E1" w14:textId="06CDF984" w:rsidR="00184B84" w:rsidRDefault="008A3BFE" w:rsidP="0096172A">
      <w:pPr>
        <w:jc w:val="both"/>
      </w:pPr>
      <w:r w:rsidRPr="00E90874">
        <w:t>Sans les voisins en effet,</w:t>
      </w:r>
      <w:r>
        <w:t xml:space="preserve"> la terrible </w:t>
      </w:r>
      <w:r w:rsidRPr="00E90874">
        <w:t xml:space="preserve">efficacité du génocide n’eût pas été la même. </w:t>
      </w:r>
    </w:p>
    <w:p w14:paraId="7B631142" w14:textId="77777777" w:rsidR="00184B84" w:rsidRDefault="00184B84" w:rsidP="00184B84">
      <w:pPr>
        <w:ind w:left="2832"/>
        <w:jc w:val="both"/>
      </w:pPr>
    </w:p>
    <w:p w14:paraId="229A1DD8" w14:textId="7A4BC004" w:rsidR="00184B84" w:rsidRDefault="0096172A" w:rsidP="00184B84">
      <w:pPr>
        <w:jc w:val="both"/>
      </w:pPr>
      <w:r>
        <w:t>-</w:t>
      </w:r>
      <w:r w:rsidR="008A3BFE" w:rsidRPr="00E90874">
        <w:t xml:space="preserve">Certes, comme pour tout génocide, celui des Tutsi rwandais a mobilisé massivement tous les moyens d’un Etat : préfets et bourgmestres du côté des structures administratives ; armée, gendarmerie, police, miliciens du côté des forces armées. </w:t>
      </w:r>
    </w:p>
    <w:p w14:paraId="0D77AD88" w14:textId="77777777" w:rsidR="00184B84" w:rsidRDefault="00184B84" w:rsidP="00184B84">
      <w:pPr>
        <w:jc w:val="both"/>
      </w:pPr>
    </w:p>
    <w:p w14:paraId="4348E783" w14:textId="77777777" w:rsidR="00DD62E1" w:rsidRDefault="00184B84" w:rsidP="00F975AF">
      <w:pPr>
        <w:jc w:val="both"/>
      </w:pPr>
      <w:r>
        <w:t>-</w:t>
      </w:r>
      <w:r w:rsidR="008A3BFE" w:rsidRPr="00E90874">
        <w:t xml:space="preserve">Mais à lui seul, le déploiement de tels moyens n’eût pas suffi : </w:t>
      </w:r>
    </w:p>
    <w:p w14:paraId="369830E8" w14:textId="77777777" w:rsidR="00F975AF" w:rsidRDefault="00F975AF" w:rsidP="00F975AF">
      <w:pPr>
        <w:jc w:val="both"/>
      </w:pPr>
    </w:p>
    <w:p w14:paraId="5EE673C4" w14:textId="0E2BDF1F" w:rsidR="00184B84" w:rsidRDefault="009812A8" w:rsidP="00DD62E1">
      <w:pPr>
        <w:ind w:left="1416"/>
        <w:jc w:val="both"/>
      </w:pPr>
      <w:r>
        <w:t>-</w:t>
      </w:r>
      <w:r w:rsidR="00DD62E1">
        <w:t>P</w:t>
      </w:r>
      <w:r w:rsidR="008A3BFE" w:rsidRPr="00E90874">
        <w:t>our que les deux tiers des victimes trouvent la mort dès les cinq premières semaines du génocide, il a fallu que les voisins – voisins-paysans, le plus souvent – prennent toute leur part du repérage, de l’érection des milliers de barrières placées sur les moindres chemins, de la poursuite</w:t>
      </w:r>
      <w:r w:rsidR="00184B84">
        <w:t xml:space="preserve"> (chasse !)</w:t>
      </w:r>
      <w:r w:rsidR="008A3BFE" w:rsidRPr="00E90874">
        <w:t>, toute leur part du meurtre, du massacre du bétail, de la destruction des maisons, du pillage des biens, toute leur part de l</w:t>
      </w:r>
      <w:r w:rsidR="008A3BFE">
        <w:t>a dissimulation</w:t>
      </w:r>
      <w:r w:rsidR="008A3BFE" w:rsidRPr="00E90874">
        <w:t xml:space="preserve"> des cadavres, enfin. </w:t>
      </w:r>
      <w:r>
        <w:t>(H</w:t>
      </w:r>
      <w:r w:rsidR="00B4294A">
        <w:t xml:space="preserve">élène </w:t>
      </w:r>
      <w:r>
        <w:t>Dumas)</w:t>
      </w:r>
    </w:p>
    <w:p w14:paraId="49F4049D" w14:textId="77777777" w:rsidR="00184B84" w:rsidRDefault="00184B84" w:rsidP="00184B84">
      <w:pPr>
        <w:ind w:left="1416"/>
        <w:jc w:val="both"/>
      </w:pPr>
    </w:p>
    <w:p w14:paraId="3161CFC8" w14:textId="77777777" w:rsidR="00DD62E1" w:rsidRDefault="00184B84" w:rsidP="00184B84">
      <w:pPr>
        <w:ind w:left="2124"/>
        <w:jc w:val="both"/>
      </w:pPr>
      <w:r>
        <w:t>*</w:t>
      </w:r>
      <w:r w:rsidR="008A3BFE" w:rsidRPr="00E90874">
        <w:t xml:space="preserve">Bien plus tard, les juridictions </w:t>
      </w:r>
      <w:r w:rsidR="008A3BFE" w:rsidRPr="00E90874">
        <w:rPr>
          <w:i/>
        </w:rPr>
        <w:t>gacaca</w:t>
      </w:r>
      <w:r w:rsidR="008A3BFE" w:rsidRPr="00E90874">
        <w:t xml:space="preserve"> ont condamné 800.000 participants aux tueries appartenant aux deux premières « catégories » – celles des organisateurs et des exécutants – soit </w:t>
      </w:r>
      <w:r w:rsidR="008A3BFE" w:rsidRPr="00DD62E1">
        <w:rPr>
          <w:i/>
        </w:rPr>
        <w:t>un cinquième</w:t>
      </w:r>
      <w:r w:rsidR="008A3BFE" w:rsidRPr="00E90874">
        <w:t xml:space="preserve"> environ de la population adulte de 1994. </w:t>
      </w:r>
    </w:p>
    <w:p w14:paraId="106CEFD8" w14:textId="77777777" w:rsidR="008A3BFE" w:rsidRDefault="008A3BFE" w:rsidP="00184B84">
      <w:pPr>
        <w:ind w:left="2124"/>
        <w:jc w:val="both"/>
      </w:pPr>
      <w:r w:rsidRPr="00E90874">
        <w:t>Des</w:t>
      </w:r>
      <w:r w:rsidR="00DD62E1">
        <w:t xml:space="preserve"> hommes pour l’essentiel. Mais des</w:t>
      </w:r>
      <w:r w:rsidRPr="00E90874">
        <w:t xml:space="preserve"> femmes, des enfants ont participé au repérage, à la poursuite, au meurtre de leurs voisins.</w:t>
      </w:r>
      <w:r>
        <w:t xml:space="preserve"> </w:t>
      </w:r>
    </w:p>
    <w:p w14:paraId="3E39F02F" w14:textId="77777777" w:rsidR="00184B84" w:rsidRDefault="00184B84" w:rsidP="00184B84">
      <w:pPr>
        <w:jc w:val="both"/>
      </w:pPr>
    </w:p>
    <w:p w14:paraId="4FC01630" w14:textId="77777777" w:rsidR="00DD62E1" w:rsidRDefault="00184B84" w:rsidP="00184B84">
      <w:pPr>
        <w:jc w:val="both"/>
      </w:pPr>
      <w:r>
        <w:t>-</w:t>
      </w:r>
      <w:r w:rsidR="008A3BFE">
        <w:t xml:space="preserve">Ces voisins, </w:t>
      </w:r>
      <w:r w:rsidR="008A3BFE" w:rsidRPr="00E90874">
        <w:t xml:space="preserve">ils </w:t>
      </w:r>
      <w:r w:rsidR="008A3BFE">
        <w:t xml:space="preserve">les </w:t>
      </w:r>
      <w:r w:rsidR="008A3BFE" w:rsidRPr="00E90874">
        <w:t>connaissaient</w:t>
      </w:r>
      <w:r w:rsidR="008A3BFE">
        <w:t xml:space="preserve"> bien. S</w:t>
      </w:r>
      <w:r w:rsidR="008A3BFE" w:rsidRPr="00E90874">
        <w:t>ouvent</w:t>
      </w:r>
      <w:r w:rsidR="008A3BFE">
        <w:t xml:space="preserve">, ils les connaissaient </w:t>
      </w:r>
      <w:r w:rsidR="008A3BFE" w:rsidRPr="00E90874">
        <w:t>intimement</w:t>
      </w:r>
      <w:r w:rsidR="008A3BFE">
        <w:t xml:space="preserve">. A eux les </w:t>
      </w:r>
      <w:r w:rsidR="008A3BFE" w:rsidRPr="00E90874">
        <w:t xml:space="preserve">attachaient des liens nombreux ; </w:t>
      </w:r>
      <w:r w:rsidR="008A3BFE">
        <w:t xml:space="preserve">parfois, ils </w:t>
      </w:r>
      <w:r w:rsidR="008A3BFE" w:rsidRPr="00E90874">
        <w:t xml:space="preserve">pouvaient être </w:t>
      </w:r>
      <w:r w:rsidR="008A3BFE">
        <w:t xml:space="preserve">des </w:t>
      </w:r>
      <w:r w:rsidR="008A3BFE" w:rsidRPr="00E90874">
        <w:t xml:space="preserve">amis de longue date, et pourtant ils </w:t>
      </w:r>
      <w:r w:rsidR="008A3BFE">
        <w:t>les ont tués</w:t>
      </w:r>
      <w:r w:rsidR="008A3BFE" w:rsidRPr="00E90874">
        <w:t xml:space="preserve">. </w:t>
      </w:r>
    </w:p>
    <w:p w14:paraId="1720047C" w14:textId="77777777" w:rsidR="00DD62E1" w:rsidRDefault="00DD62E1" w:rsidP="00184B84">
      <w:pPr>
        <w:jc w:val="both"/>
      </w:pPr>
    </w:p>
    <w:p w14:paraId="4258C2BE" w14:textId="441B7391" w:rsidR="008A3BFE" w:rsidRDefault="008A3BFE" w:rsidP="00B4294A">
      <w:pPr>
        <w:jc w:val="both"/>
      </w:pPr>
      <w:r w:rsidRPr="00E90874">
        <w:rPr>
          <w:i/>
        </w:rPr>
        <w:t>Cela</w:t>
      </w:r>
      <w:r w:rsidRPr="00E90874">
        <w:t xml:space="preserve">, il faut </w:t>
      </w:r>
      <w:r>
        <w:t xml:space="preserve">le </w:t>
      </w:r>
      <w:r w:rsidRPr="00E90874">
        <w:t xml:space="preserve">comprendre, </w:t>
      </w:r>
      <w:r>
        <w:t>tout en sachant</w:t>
      </w:r>
      <w:r w:rsidRPr="00E90874">
        <w:t xml:space="preserve"> qu’on ne peut tout à fait </w:t>
      </w:r>
      <w:r>
        <w:t xml:space="preserve">espérer </w:t>
      </w:r>
      <w:r w:rsidRPr="00E90874">
        <w:t>y parvenir.</w:t>
      </w:r>
    </w:p>
    <w:p w14:paraId="00956EFB" w14:textId="77777777" w:rsidR="00184B84" w:rsidRPr="00320433" w:rsidRDefault="00184B84" w:rsidP="00184B84">
      <w:pPr>
        <w:jc w:val="both"/>
        <w:rPr>
          <w:strike/>
        </w:rPr>
      </w:pPr>
    </w:p>
    <w:p w14:paraId="7FCF3E44" w14:textId="1081580B" w:rsidR="00184B84" w:rsidRDefault="00184B84" w:rsidP="00184B84">
      <w:pPr>
        <w:jc w:val="both"/>
      </w:pPr>
      <w:r>
        <w:t>-</w:t>
      </w:r>
      <w:r w:rsidR="008A3BFE">
        <w:t xml:space="preserve">Au Rwanda, </w:t>
      </w:r>
      <w:r w:rsidR="008A3BFE" w:rsidRPr="00E90874">
        <w:t xml:space="preserve">le corps de l’Autre </w:t>
      </w:r>
      <w:r w:rsidR="008A3BFE">
        <w:t>a ainsi pu</w:t>
      </w:r>
      <w:r w:rsidR="008A3BFE" w:rsidRPr="00E90874">
        <w:t xml:space="preserve"> devenir le lieu de pratiques</w:t>
      </w:r>
      <w:r w:rsidR="008A3BFE">
        <w:t xml:space="preserve"> extrêmes,</w:t>
      </w:r>
      <w:r w:rsidR="008A3BFE" w:rsidRPr="00E90874">
        <w:t xml:space="preserve"> </w:t>
      </w:r>
      <w:r w:rsidR="008A3BFE">
        <w:t xml:space="preserve">certes très </w:t>
      </w:r>
      <w:r w:rsidR="008A3BFE" w:rsidRPr="00E90874">
        <w:t xml:space="preserve">diverses </w:t>
      </w:r>
      <w:r w:rsidR="008A3BFE">
        <w:t xml:space="preserve">mais </w:t>
      </w:r>
      <w:r w:rsidR="008A3BFE" w:rsidRPr="00E90874">
        <w:t>qui, toutes, se</w:t>
      </w:r>
      <w:r w:rsidR="008A3BFE">
        <w:t xml:space="preserve"> sont voulues</w:t>
      </w:r>
      <w:r w:rsidR="008A3BFE" w:rsidRPr="00E90874">
        <w:t xml:space="preserve"> </w:t>
      </w:r>
      <w:r w:rsidR="008A3BFE" w:rsidRPr="00184B84">
        <w:rPr>
          <w:i/>
        </w:rPr>
        <w:t>clarificatrices </w:t>
      </w:r>
      <w:r w:rsidR="009812A8">
        <w:t>(Arjun Appaduraï) :</w:t>
      </w:r>
      <w:r w:rsidR="008A3BFE" w:rsidRPr="00E90874">
        <w:t xml:space="preserve"> </w:t>
      </w:r>
    </w:p>
    <w:p w14:paraId="7E103A45" w14:textId="77777777" w:rsidR="00184B84" w:rsidRDefault="00184B84" w:rsidP="009812A8">
      <w:pPr>
        <w:jc w:val="both"/>
      </w:pPr>
    </w:p>
    <w:p w14:paraId="4F9877A8" w14:textId="77777777" w:rsidR="008A3BFE" w:rsidRPr="00E90874" w:rsidRDefault="00184B84" w:rsidP="00184B84">
      <w:pPr>
        <w:ind w:left="1416"/>
        <w:jc w:val="both"/>
      </w:pPr>
      <w:r>
        <w:t>-</w:t>
      </w:r>
      <w:r w:rsidR="008A3BFE">
        <w:t>A</w:t>
      </w:r>
      <w:r>
        <w:t xml:space="preserve"> travers ce qu’on</w:t>
      </w:r>
      <w:r w:rsidR="008A3BFE" w:rsidRPr="00E90874">
        <w:t xml:space="preserve"> </w:t>
      </w:r>
      <w:r w:rsidR="008A3BFE">
        <w:t xml:space="preserve">a </w:t>
      </w:r>
      <w:r w:rsidR="008A3BFE" w:rsidRPr="00E90874">
        <w:t>fait</w:t>
      </w:r>
      <w:r>
        <w:t xml:space="preserve"> à l’Autre</w:t>
      </w:r>
      <w:r w:rsidR="008A3BFE" w:rsidRPr="00E90874">
        <w:t xml:space="preserve">, on </w:t>
      </w:r>
      <w:r w:rsidR="008A3BFE" w:rsidRPr="00FA70C9">
        <w:rPr>
          <w:i/>
        </w:rPr>
        <w:t>lui</w:t>
      </w:r>
      <w:r w:rsidR="008A3BFE" w:rsidRPr="002E2C81">
        <w:t xml:space="preserve"> </w:t>
      </w:r>
      <w:r w:rsidR="008A3BFE">
        <w:t xml:space="preserve">a prouvé et l’on s’est prouvé à </w:t>
      </w:r>
      <w:r w:rsidR="008A3BFE" w:rsidRPr="00FA70C9">
        <w:rPr>
          <w:i/>
        </w:rPr>
        <w:t>soi-même</w:t>
      </w:r>
      <w:r w:rsidR="008A3BFE">
        <w:t xml:space="preserve"> qu’il était, </w:t>
      </w:r>
      <w:r w:rsidR="008A3BFE" w:rsidRPr="00666E86">
        <w:rPr>
          <w:i/>
        </w:rPr>
        <w:t>décidément</w:t>
      </w:r>
      <w:r w:rsidR="008A3BFE">
        <w:t>,</w:t>
      </w:r>
      <w:r w:rsidR="00FA70C9">
        <w:t xml:space="preserve"> un </w:t>
      </w:r>
      <w:r w:rsidR="008A3BFE" w:rsidRPr="00E90874">
        <w:t>ennemi</w:t>
      </w:r>
      <w:r w:rsidR="00FA70C9">
        <w:t xml:space="preserve"> à éradiquer</w:t>
      </w:r>
      <w:r w:rsidR="008A3BFE" w:rsidRPr="00E90874">
        <w:t xml:space="preserve">. </w:t>
      </w:r>
    </w:p>
    <w:p w14:paraId="4D1B50DF" w14:textId="77777777" w:rsidR="009812A8" w:rsidRDefault="009812A8" w:rsidP="00666E86">
      <w:pPr>
        <w:jc w:val="both"/>
      </w:pPr>
    </w:p>
    <w:p w14:paraId="72846FED" w14:textId="77777777" w:rsidR="00FA70C9" w:rsidRPr="00666E86" w:rsidRDefault="00FA70C9" w:rsidP="00666E86">
      <w:pPr>
        <w:jc w:val="both"/>
      </w:pPr>
      <w:r>
        <w:t>- La</w:t>
      </w:r>
      <w:r w:rsidR="008A3BFE" w:rsidRPr="00E90874">
        <w:t xml:space="preserve"> « cruauté », si présente partout dans le meurtre des voisins en 1994, n’est pas un</w:t>
      </w:r>
      <w:r w:rsidR="008A3BFE">
        <w:t>e sorte d’</w:t>
      </w:r>
      <w:r w:rsidR="008A3BFE" w:rsidRPr="00E90874">
        <w:t>« à-côté » de la question</w:t>
      </w:r>
      <w:r w:rsidR="008A3BFE">
        <w:t xml:space="preserve"> du génocide</w:t>
      </w:r>
      <w:r w:rsidR="00666E86">
        <w:t> :</w:t>
      </w:r>
      <w:r w:rsidR="008A3BFE" w:rsidRPr="00E90874">
        <w:t xml:space="preserve"> </w:t>
      </w:r>
      <w:r w:rsidR="00666E86">
        <w:t>c</w:t>
      </w:r>
      <w:r>
        <w:t>ette</w:t>
      </w:r>
      <w:r w:rsidRPr="00666E86">
        <w:rPr>
          <w:rFonts w:ascii="Cambria" w:eastAsia="Cambria" w:hAnsi="Cambria" w:cs="Times New Roman"/>
        </w:rPr>
        <w:t xml:space="preserve"> violence devenue sa propre fin</w:t>
      </w:r>
      <w:r w:rsidRPr="00E90874">
        <w:t xml:space="preserve"> </w:t>
      </w:r>
      <w:r w:rsidR="008A3BFE" w:rsidRPr="00E90874">
        <w:t>en constitue le cœur</w:t>
      </w:r>
      <w:r w:rsidR="008A3BFE" w:rsidRPr="00E90874">
        <w:rPr>
          <w:rStyle w:val="Marquenotebasdepage"/>
          <w:rFonts w:ascii="Cambria" w:eastAsia="Cambria" w:hAnsi="Cambria" w:cs="Times New Roman"/>
        </w:rPr>
        <w:footnoteReference w:id="1"/>
      </w:r>
      <w:r w:rsidR="00666E86">
        <w:t> :</w:t>
      </w:r>
      <w:r w:rsidR="008A3BFE" w:rsidRPr="00666E86">
        <w:rPr>
          <w:rFonts w:ascii="Cambria" w:eastAsia="Cambria" w:hAnsi="Cambria" w:cs="Times New Roman"/>
        </w:rPr>
        <w:t xml:space="preserve"> </w:t>
      </w:r>
    </w:p>
    <w:p w14:paraId="5DC6C2C5" w14:textId="77777777" w:rsidR="00FA70C9" w:rsidRPr="00FA70C9" w:rsidRDefault="00FA70C9" w:rsidP="00FA70C9">
      <w:pPr>
        <w:pStyle w:val="Paragraphedeliste"/>
        <w:ind w:left="1776"/>
        <w:jc w:val="both"/>
        <w:rPr>
          <w:rFonts w:ascii="Cambria" w:eastAsia="Cambria" w:hAnsi="Cambria" w:cs="Times New Roman"/>
        </w:rPr>
      </w:pPr>
    </w:p>
    <w:p w14:paraId="2D2ADA28" w14:textId="6054CBF2" w:rsidR="00FA70C9" w:rsidRDefault="00FA70C9" w:rsidP="00FA70C9">
      <w:pPr>
        <w:pStyle w:val="Paragraphedeliste"/>
        <w:numPr>
          <w:ilvl w:val="0"/>
          <w:numId w:val="6"/>
        </w:numPr>
        <w:jc w:val="both"/>
        <w:rPr>
          <w:rFonts w:ascii="Cambria" w:eastAsia="Cambria" w:hAnsi="Cambria" w:cs="Times New Roman"/>
        </w:rPr>
      </w:pPr>
      <w:r w:rsidRPr="00FA70C9">
        <w:rPr>
          <w:rFonts w:ascii="Cambria" w:eastAsia="Cambria" w:hAnsi="Cambria" w:cs="Times New Roman"/>
        </w:rPr>
        <w:t>Il s’</w:t>
      </w:r>
      <w:r w:rsidR="009812A8">
        <w:rPr>
          <w:rFonts w:ascii="Cambria" w:eastAsia="Cambria" w:hAnsi="Cambria" w:cs="Times New Roman"/>
        </w:rPr>
        <w:t>est agi</w:t>
      </w:r>
      <w:r w:rsidRPr="00FA70C9">
        <w:rPr>
          <w:rFonts w:ascii="Cambria" w:eastAsia="Cambria" w:hAnsi="Cambria" w:cs="Times New Roman"/>
        </w:rPr>
        <w:t xml:space="preserve"> </w:t>
      </w:r>
      <w:r w:rsidR="008A3BFE" w:rsidRPr="00FA70C9">
        <w:rPr>
          <w:rFonts w:ascii="Cambria" w:eastAsia="Cambria" w:hAnsi="Cambria" w:cs="Times New Roman"/>
        </w:rPr>
        <w:t>d’abord</w:t>
      </w:r>
      <w:r w:rsidR="009812A8">
        <w:rPr>
          <w:rFonts w:ascii="Cambria" w:eastAsia="Cambria" w:hAnsi="Cambria" w:cs="Times New Roman"/>
        </w:rPr>
        <w:t xml:space="preserve"> de</w:t>
      </w:r>
      <w:r w:rsidR="008A3BFE" w:rsidRPr="00FA70C9">
        <w:rPr>
          <w:rFonts w:ascii="Cambria" w:eastAsia="Cambria" w:hAnsi="Cambria" w:cs="Times New Roman"/>
        </w:rPr>
        <w:t xml:space="preserve"> </w:t>
      </w:r>
      <w:r w:rsidR="008A3BFE" w:rsidRPr="00666E86">
        <w:rPr>
          <w:rFonts w:ascii="Cambria" w:eastAsia="Cambria" w:hAnsi="Cambria" w:cs="Times New Roman"/>
          <w:i/>
        </w:rPr>
        <w:t>produire de la douleur</w:t>
      </w:r>
      <w:r w:rsidR="008A3BFE" w:rsidRPr="00FA70C9">
        <w:rPr>
          <w:rFonts w:ascii="Cambria" w:eastAsia="Cambria" w:hAnsi="Cambria" w:cs="Times New Roman"/>
        </w:rPr>
        <w:t xml:space="preserve">  – le plus de douleur possible</w:t>
      </w:r>
      <w:r w:rsidR="009812A8">
        <w:rPr>
          <w:rFonts w:ascii="Cambria" w:eastAsia="Cambria" w:hAnsi="Cambria" w:cs="Times New Roman"/>
        </w:rPr>
        <w:t xml:space="preserve"> (vivisections)</w:t>
      </w:r>
      <w:r w:rsidR="008A3BFE" w:rsidRPr="00FA70C9">
        <w:rPr>
          <w:rFonts w:ascii="Cambria" w:eastAsia="Cambria" w:hAnsi="Cambria" w:cs="Times New Roman"/>
        </w:rPr>
        <w:t xml:space="preserve">. Douleur du </w:t>
      </w:r>
      <w:r w:rsidR="008A3BFE" w:rsidRPr="00666E86">
        <w:rPr>
          <w:rFonts w:ascii="Cambria" w:eastAsia="Cambria" w:hAnsi="Cambria" w:cs="Times New Roman"/>
          <w:i/>
        </w:rPr>
        <w:t>corps</w:t>
      </w:r>
      <w:r w:rsidR="008A3BFE" w:rsidRPr="00FA70C9">
        <w:rPr>
          <w:rFonts w:ascii="Cambria" w:eastAsia="Cambria" w:hAnsi="Cambria" w:cs="Times New Roman"/>
        </w:rPr>
        <w:t xml:space="preserve">, bien sûr, mais douleur </w:t>
      </w:r>
      <w:r w:rsidRPr="00666E86">
        <w:rPr>
          <w:rFonts w:ascii="Cambria" w:eastAsia="Cambria" w:hAnsi="Cambria" w:cs="Times New Roman"/>
          <w:i/>
        </w:rPr>
        <w:t>psychique</w:t>
      </w:r>
      <w:r w:rsidR="008A3BFE" w:rsidRPr="00FA70C9">
        <w:rPr>
          <w:rFonts w:ascii="Cambria" w:eastAsia="Cambria" w:hAnsi="Cambria" w:cs="Times New Roman"/>
        </w:rPr>
        <w:t xml:space="preserve"> tout autant – celle qui vit encore chez tous les survivants. </w:t>
      </w:r>
    </w:p>
    <w:p w14:paraId="638FDCA8" w14:textId="77777777" w:rsidR="00FA70C9" w:rsidRPr="00FA70C9" w:rsidRDefault="00FA70C9" w:rsidP="00FA70C9">
      <w:pPr>
        <w:jc w:val="both"/>
        <w:rPr>
          <w:rFonts w:ascii="Cambria" w:eastAsia="Cambria" w:hAnsi="Cambria" w:cs="Times New Roman"/>
        </w:rPr>
      </w:pPr>
    </w:p>
    <w:p w14:paraId="21110E72" w14:textId="4CE74BD3" w:rsidR="00FA70C9" w:rsidRDefault="008A3BFE" w:rsidP="00FA70C9">
      <w:pPr>
        <w:pStyle w:val="Paragraphedeliste"/>
        <w:numPr>
          <w:ilvl w:val="0"/>
          <w:numId w:val="6"/>
        </w:numPr>
        <w:jc w:val="both"/>
        <w:rPr>
          <w:rFonts w:ascii="Cambria" w:eastAsia="Cambria" w:hAnsi="Cambria" w:cs="Times New Roman"/>
        </w:rPr>
      </w:pPr>
      <w:r w:rsidRPr="00FA70C9">
        <w:rPr>
          <w:rFonts w:ascii="Cambria" w:eastAsia="Cambria" w:hAnsi="Cambria" w:cs="Times New Roman"/>
        </w:rPr>
        <w:t xml:space="preserve">Cette douleur-là est </w:t>
      </w:r>
      <w:r w:rsidRPr="00FA70C9">
        <w:rPr>
          <w:rFonts w:ascii="Cambria" w:eastAsia="Cambria" w:hAnsi="Cambria" w:cs="Times New Roman"/>
          <w:i/>
        </w:rPr>
        <w:t>symbolique </w:t>
      </w:r>
      <w:r w:rsidRPr="00FA70C9">
        <w:rPr>
          <w:rFonts w:ascii="Cambria" w:eastAsia="Cambria" w:hAnsi="Cambria" w:cs="Times New Roman"/>
        </w:rPr>
        <w:t>: car la cruauté est profanatrice, elle veut atteindre – et elle atteint effectivement</w:t>
      </w:r>
      <w:r w:rsidR="009812A8">
        <w:rPr>
          <w:rFonts w:ascii="Cambria" w:eastAsia="Cambria" w:hAnsi="Cambria" w:cs="Times New Roman"/>
        </w:rPr>
        <w:t xml:space="preserve"> (viol, latrines…)</w:t>
      </w:r>
      <w:r w:rsidRPr="00FA70C9">
        <w:rPr>
          <w:rFonts w:ascii="Cambria" w:eastAsia="Cambria" w:hAnsi="Cambria" w:cs="Times New Roman"/>
        </w:rPr>
        <w:t xml:space="preserve"> – le </w:t>
      </w:r>
      <w:r w:rsidRPr="00666E86">
        <w:rPr>
          <w:rFonts w:ascii="Cambria" w:eastAsia="Cambria" w:hAnsi="Cambria" w:cs="Times New Roman"/>
          <w:i/>
        </w:rPr>
        <w:t>sacré</w:t>
      </w:r>
      <w:r w:rsidRPr="00FA70C9">
        <w:rPr>
          <w:rFonts w:ascii="Cambria" w:eastAsia="Cambria" w:hAnsi="Cambria" w:cs="Times New Roman"/>
        </w:rPr>
        <w:t xml:space="preserve"> de la victime. </w:t>
      </w:r>
    </w:p>
    <w:p w14:paraId="2663F718" w14:textId="77777777" w:rsidR="00FA70C9" w:rsidRDefault="00FA70C9" w:rsidP="00FA70C9">
      <w:pPr>
        <w:pStyle w:val="Paragraphedeliste"/>
        <w:ind w:left="1776"/>
        <w:jc w:val="both"/>
        <w:rPr>
          <w:rFonts w:ascii="Cambria" w:eastAsia="Cambria" w:hAnsi="Cambria" w:cs="Times New Roman"/>
        </w:rPr>
      </w:pPr>
    </w:p>
    <w:p w14:paraId="640B18BA" w14:textId="77777777" w:rsidR="00FA70C9" w:rsidRDefault="00FA70C9" w:rsidP="00FA70C9">
      <w:pPr>
        <w:ind w:left="2832"/>
        <w:jc w:val="both"/>
      </w:pPr>
      <w:r>
        <w:t>*</w:t>
      </w:r>
      <w:r w:rsidR="008A3BFE">
        <w:t xml:space="preserve">Au delà, elle vise </w:t>
      </w:r>
      <w:r w:rsidR="008A3BFE" w:rsidRPr="00FA70C9">
        <w:rPr>
          <w:rFonts w:ascii="Cambria" w:eastAsia="Cambria" w:hAnsi="Cambria" w:cs="Times New Roman"/>
        </w:rPr>
        <w:t>sa famille et, plus loin encore, sa communauté tout entière.</w:t>
      </w:r>
      <w:r w:rsidR="008A3BFE">
        <w:t xml:space="preserve"> </w:t>
      </w:r>
    </w:p>
    <w:p w14:paraId="18C07C94" w14:textId="77777777" w:rsidR="00FA70C9" w:rsidRDefault="00FA70C9" w:rsidP="00FA70C9">
      <w:pPr>
        <w:ind w:left="2832"/>
        <w:jc w:val="both"/>
      </w:pPr>
    </w:p>
    <w:p w14:paraId="2B77E78C" w14:textId="77777777" w:rsidR="00FA70C9" w:rsidRDefault="00FA70C9" w:rsidP="00FA70C9">
      <w:pPr>
        <w:ind w:left="2832"/>
        <w:jc w:val="both"/>
        <w:rPr>
          <w:rFonts w:ascii="Cambria" w:eastAsia="Cambria" w:hAnsi="Cambria" w:cs="Times New Roman"/>
        </w:rPr>
      </w:pPr>
      <w:r>
        <w:t>*</w:t>
      </w:r>
      <w:r w:rsidR="008A3BFE">
        <w:t>E</w:t>
      </w:r>
      <w:r w:rsidR="008A3BFE" w:rsidRPr="00E90874">
        <w:t xml:space="preserve">lle comporte </w:t>
      </w:r>
      <w:r w:rsidR="008A3BFE">
        <w:t xml:space="preserve">en outre </w:t>
      </w:r>
      <w:r w:rsidR="008A3BFE" w:rsidRPr="00E90874">
        <w:t xml:space="preserve">un </w:t>
      </w:r>
      <w:r w:rsidR="008A3BFE" w:rsidRPr="00FA70C9">
        <w:rPr>
          <w:rFonts w:ascii="Cambria" w:eastAsia="Cambria" w:hAnsi="Cambria" w:cs="Times New Roman"/>
        </w:rPr>
        <w:t>élément, essentie</w:t>
      </w:r>
      <w:r w:rsidR="00666E86">
        <w:rPr>
          <w:rFonts w:ascii="Cambria" w:eastAsia="Cambria" w:hAnsi="Cambria" w:cs="Times New Roman"/>
        </w:rPr>
        <w:t>l : la jouissance du bourreau. Car i</w:t>
      </w:r>
      <w:r w:rsidR="008A3BFE" w:rsidRPr="00FA70C9">
        <w:rPr>
          <w:rFonts w:ascii="Cambria" w:eastAsia="Cambria" w:hAnsi="Cambria" w:cs="Times New Roman"/>
        </w:rPr>
        <w:t xml:space="preserve">l ne sert à rien de se le dissimuler : au meurtre des voisins, les voisins ont </w:t>
      </w:r>
      <w:r w:rsidR="008A3BFE" w:rsidRPr="00FA70C9">
        <w:rPr>
          <w:rFonts w:ascii="Cambria" w:eastAsia="Cambria" w:hAnsi="Cambria" w:cs="Times New Roman"/>
          <w:i/>
        </w:rPr>
        <w:t>pris plaisir</w:t>
      </w:r>
      <w:r w:rsidR="00666E86">
        <w:rPr>
          <w:rFonts w:ascii="Cambria" w:eastAsia="Cambria" w:hAnsi="Cambria" w:cs="Times New Roman"/>
          <w:i/>
        </w:rPr>
        <w:t> </w:t>
      </w:r>
      <w:r w:rsidR="00666E86">
        <w:rPr>
          <w:rFonts w:ascii="Cambria" w:eastAsia="Cambria" w:hAnsi="Cambria" w:cs="Times New Roman"/>
        </w:rPr>
        <w:t>:</w:t>
      </w:r>
      <w:r w:rsidR="008A3BFE" w:rsidRPr="00FA70C9">
        <w:rPr>
          <w:rFonts w:ascii="Cambria" w:eastAsia="Cambria" w:hAnsi="Cambria" w:cs="Times New Roman"/>
        </w:rPr>
        <w:t xml:space="preserve"> </w:t>
      </w:r>
    </w:p>
    <w:p w14:paraId="31FABF06" w14:textId="77777777" w:rsidR="00FA70C9" w:rsidRDefault="00FA70C9" w:rsidP="00FA70C9">
      <w:pPr>
        <w:ind w:left="2832"/>
        <w:jc w:val="both"/>
        <w:rPr>
          <w:rFonts w:ascii="Cambria" w:eastAsia="Cambria" w:hAnsi="Cambria" w:cs="Times New Roman"/>
        </w:rPr>
      </w:pPr>
    </w:p>
    <w:p w14:paraId="7B7F28DC" w14:textId="77777777" w:rsidR="00FA70C9" w:rsidRDefault="00FA70C9" w:rsidP="00FA70C9">
      <w:pPr>
        <w:ind w:left="4248"/>
        <w:jc w:val="both"/>
        <w:rPr>
          <w:rFonts w:ascii="Cambria" w:eastAsia="Cambria" w:hAnsi="Cambria" w:cs="Times New Roman"/>
          <w:i/>
        </w:rPr>
      </w:pPr>
      <w:r>
        <w:rPr>
          <w:rFonts w:ascii="Cambria" w:eastAsia="Cambria" w:hAnsi="Cambria" w:cs="Times New Roman"/>
        </w:rPr>
        <w:t>-</w:t>
      </w:r>
      <w:r w:rsidR="008A3BFE" w:rsidRPr="00FA70C9">
        <w:rPr>
          <w:rFonts w:ascii="Cambria" w:eastAsia="Cambria" w:hAnsi="Cambria" w:cs="Times New Roman"/>
        </w:rPr>
        <w:t>Les repas et les libations du soir qui réunissaient les tueurs</w:t>
      </w:r>
      <w:r w:rsidR="00666E86">
        <w:rPr>
          <w:rFonts w:ascii="Cambria" w:eastAsia="Cambria" w:hAnsi="Cambria" w:cs="Times New Roman"/>
        </w:rPr>
        <w:t xml:space="preserve"> après leurs journées de battue </w:t>
      </w:r>
      <w:r w:rsidR="008A3BFE" w:rsidRPr="00FA70C9">
        <w:rPr>
          <w:rFonts w:ascii="Cambria" w:eastAsia="Cambria" w:hAnsi="Cambria" w:cs="Times New Roman"/>
        </w:rPr>
        <w:t>trahissent éloquemment cette omniprésence</w:t>
      </w:r>
      <w:r w:rsidR="00666E86">
        <w:rPr>
          <w:rFonts w:ascii="Cambria" w:eastAsia="Cambria" w:hAnsi="Cambria" w:cs="Times New Roman"/>
        </w:rPr>
        <w:t>,</w:t>
      </w:r>
      <w:r w:rsidR="008A3BFE" w:rsidRPr="00FA70C9">
        <w:rPr>
          <w:rFonts w:ascii="Cambria" w:eastAsia="Cambria" w:hAnsi="Cambria" w:cs="Times New Roman"/>
        </w:rPr>
        <w:t xml:space="preserve"> ignoble</w:t>
      </w:r>
      <w:r w:rsidR="00666E86">
        <w:rPr>
          <w:rFonts w:ascii="Cambria" w:eastAsia="Cambria" w:hAnsi="Cambria" w:cs="Times New Roman"/>
        </w:rPr>
        <w:t>,</w:t>
      </w:r>
      <w:r w:rsidR="008A3BFE" w:rsidRPr="00FA70C9">
        <w:rPr>
          <w:rFonts w:ascii="Cambria" w:eastAsia="Cambria" w:hAnsi="Cambria" w:cs="Times New Roman"/>
        </w:rPr>
        <w:t xml:space="preserve"> de la </w:t>
      </w:r>
      <w:r w:rsidR="008A3BFE" w:rsidRPr="00FA70C9">
        <w:rPr>
          <w:rFonts w:ascii="Cambria" w:eastAsia="Cambria" w:hAnsi="Cambria" w:cs="Times New Roman"/>
          <w:i/>
        </w:rPr>
        <w:t>fête.</w:t>
      </w:r>
    </w:p>
    <w:p w14:paraId="3020EB24" w14:textId="77777777" w:rsidR="009812A8" w:rsidRDefault="009812A8" w:rsidP="00FA70C9">
      <w:pPr>
        <w:ind w:left="4248"/>
        <w:jc w:val="both"/>
        <w:rPr>
          <w:rFonts w:ascii="Cambria" w:eastAsia="Cambria" w:hAnsi="Cambria" w:cs="Times New Roman"/>
        </w:rPr>
      </w:pPr>
    </w:p>
    <w:p w14:paraId="584F7E66" w14:textId="77777777" w:rsidR="008A3BFE" w:rsidRPr="00FA70C9" w:rsidRDefault="00FA70C9" w:rsidP="00FA70C9">
      <w:pPr>
        <w:ind w:left="4248"/>
        <w:jc w:val="both"/>
        <w:rPr>
          <w:rFonts w:ascii="Cambria" w:eastAsia="Cambria" w:hAnsi="Cambria" w:cs="Times New Roman"/>
        </w:rPr>
      </w:pPr>
      <w:r w:rsidRPr="00FA70C9">
        <w:rPr>
          <w:rFonts w:ascii="Cambria" w:eastAsia="Cambria" w:hAnsi="Cambria" w:cs="Times New Roman"/>
        </w:rPr>
        <w:t>-Idem émissions RTLM…</w:t>
      </w:r>
    </w:p>
    <w:p w14:paraId="7CB10045" w14:textId="77777777" w:rsidR="00FA70C9" w:rsidRDefault="00FA70C9" w:rsidP="00FA70C9">
      <w:pPr>
        <w:jc w:val="both"/>
      </w:pPr>
    </w:p>
    <w:p w14:paraId="2D644284" w14:textId="77777777" w:rsidR="00FA70C9" w:rsidRDefault="00FA70C9" w:rsidP="00FA70C9">
      <w:pPr>
        <w:jc w:val="both"/>
      </w:pPr>
      <w:r>
        <w:t>-</w:t>
      </w:r>
      <w:r w:rsidR="008A3BFE">
        <w:t xml:space="preserve">En les massacrant, les voisins ont en quelque sorte </w:t>
      </w:r>
      <w:r w:rsidR="008A3BFE" w:rsidRPr="008551E5">
        <w:rPr>
          <w:i/>
        </w:rPr>
        <w:t>parlé</w:t>
      </w:r>
      <w:r w:rsidR="008A3BFE">
        <w:t xml:space="preserve"> une dernière fois à leurs voisins. </w:t>
      </w:r>
    </w:p>
    <w:p w14:paraId="7A5887B5" w14:textId="77777777" w:rsidR="00FA70C9" w:rsidRDefault="00FA70C9" w:rsidP="00FA70C9">
      <w:pPr>
        <w:jc w:val="both"/>
      </w:pPr>
    </w:p>
    <w:p w14:paraId="315B2F14" w14:textId="77777777" w:rsidR="00FA70C9" w:rsidRDefault="00FA70C9" w:rsidP="00FA70C9">
      <w:pPr>
        <w:ind w:left="1416"/>
        <w:jc w:val="both"/>
      </w:pPr>
      <w:r>
        <w:t>-</w:t>
      </w:r>
      <w:r w:rsidR="008A3BFE" w:rsidRPr="00E90874">
        <w:t>C</w:t>
      </w:r>
      <w:r w:rsidR="008A3BFE">
        <w:t>ar toute</w:t>
      </w:r>
      <w:r w:rsidR="008A3BFE" w:rsidRPr="00E90874">
        <w:t xml:space="preserve"> cruauté est un </w:t>
      </w:r>
      <w:r w:rsidR="008A3BFE" w:rsidRPr="00AF038C">
        <w:t>langage</w:t>
      </w:r>
      <w:r w:rsidR="008A3BFE" w:rsidRPr="00E90874">
        <w:rPr>
          <w:rStyle w:val="Marquenotebasdepage"/>
        </w:rPr>
        <w:footnoteReference w:id="2"/>
      </w:r>
      <w:r w:rsidR="008A3BFE">
        <w:t xml:space="preserve">. </w:t>
      </w:r>
    </w:p>
    <w:p w14:paraId="1229E3B7" w14:textId="77777777" w:rsidR="00FA70C9" w:rsidRDefault="00FA70C9" w:rsidP="00FA70C9">
      <w:pPr>
        <w:ind w:left="1416"/>
        <w:jc w:val="both"/>
      </w:pPr>
    </w:p>
    <w:p w14:paraId="6C11A7F6" w14:textId="77777777" w:rsidR="00FA70C9" w:rsidRDefault="00FA70C9" w:rsidP="00FA70C9">
      <w:pPr>
        <w:ind w:left="1416"/>
        <w:jc w:val="both"/>
      </w:pPr>
      <w:r>
        <w:t>-Et s</w:t>
      </w:r>
      <w:r w:rsidR="008A3BFE">
        <w:t>a logique profonde procède d’une recherche : celle</w:t>
      </w:r>
      <w:r w:rsidR="008A3BFE" w:rsidRPr="00E90874">
        <w:t xml:space="preserve"> d’une atteint</w:t>
      </w:r>
      <w:r w:rsidR="008A3BFE">
        <w:t xml:space="preserve">e systématique à la filiation. </w:t>
      </w:r>
    </w:p>
    <w:p w14:paraId="7C658951" w14:textId="77777777" w:rsidR="00FA70C9" w:rsidRDefault="00FA70C9" w:rsidP="00FA70C9">
      <w:pPr>
        <w:ind w:left="1416"/>
        <w:jc w:val="both"/>
      </w:pPr>
    </w:p>
    <w:p w14:paraId="5E51D97E" w14:textId="77777777" w:rsidR="00FA70C9" w:rsidRDefault="00FA70C9" w:rsidP="00FA70C9">
      <w:pPr>
        <w:ind w:left="2832"/>
        <w:jc w:val="both"/>
      </w:pPr>
      <w:r>
        <w:t>*</w:t>
      </w:r>
      <w:r w:rsidR="008A3BFE">
        <w:t>R</w:t>
      </w:r>
      <w:r w:rsidR="008A3BFE" w:rsidRPr="00E90874">
        <w:t xml:space="preserve">endre un visage méconnaissable, mettre le </w:t>
      </w:r>
      <w:r w:rsidR="008A3BFE" w:rsidRPr="00E90874">
        <w:rPr>
          <w:i/>
        </w:rPr>
        <w:t>dedans</w:t>
      </w:r>
      <w:r w:rsidR="008A3BFE" w:rsidRPr="00E90874">
        <w:t xml:space="preserve"> </w:t>
      </w:r>
      <w:r w:rsidR="008A3BFE">
        <w:t xml:space="preserve">d’un corps </w:t>
      </w:r>
      <w:r w:rsidR="008A3BFE" w:rsidRPr="00E90874">
        <w:t xml:space="preserve">au </w:t>
      </w:r>
      <w:r w:rsidR="008A3BFE" w:rsidRPr="00E90874">
        <w:rPr>
          <w:i/>
        </w:rPr>
        <w:t>dehors</w:t>
      </w:r>
      <w:r w:rsidR="008A3BFE" w:rsidRPr="00E90874">
        <w:t xml:space="preserve"> ou vice versa, </w:t>
      </w:r>
      <w:r w:rsidR="008A3BFE">
        <w:t>en agencer les morceaux</w:t>
      </w:r>
      <w:r w:rsidR="008A3BFE" w:rsidRPr="00E90874">
        <w:t xml:space="preserve"> </w:t>
      </w:r>
      <w:r w:rsidR="008A3BFE">
        <w:t>d’une manière</w:t>
      </w:r>
      <w:r w:rsidR="008A3BFE" w:rsidRPr="00E90874">
        <w:t xml:space="preserve"> biologiquement impossible, </w:t>
      </w:r>
      <w:r w:rsidR="008A3BFE">
        <w:t>l’</w:t>
      </w:r>
      <w:r w:rsidR="008A3BFE" w:rsidRPr="00E90874">
        <w:t xml:space="preserve">animaliser, le chosifier par </w:t>
      </w:r>
      <w:r w:rsidR="008A3BFE">
        <w:t xml:space="preserve">le déploiement de </w:t>
      </w:r>
      <w:r w:rsidR="008A3BFE" w:rsidRPr="00E90874">
        <w:t>la « magie ex</w:t>
      </w:r>
      <w:r w:rsidR="008A3BFE">
        <w:t>crémentielle</w:t>
      </w:r>
      <w:r w:rsidR="008A3BFE">
        <w:rPr>
          <w:rStyle w:val="Marquenotebasdepage"/>
        </w:rPr>
        <w:footnoteReference w:id="3"/>
      </w:r>
      <w:r w:rsidR="008A3BFE">
        <w:t> »</w:t>
      </w:r>
      <w:r w:rsidR="008A3BFE" w:rsidRPr="00E90874">
        <w:t>: autant de maniè</w:t>
      </w:r>
      <w:r w:rsidR="008A3BFE">
        <w:t xml:space="preserve">res d’atteindre et </w:t>
      </w:r>
      <w:r w:rsidR="008A3BFE" w:rsidRPr="00E90874">
        <w:t xml:space="preserve">de </w:t>
      </w:r>
      <w:r w:rsidR="008A3BFE">
        <w:t>trancher</w:t>
      </w:r>
      <w:r w:rsidR="008A3BFE" w:rsidRPr="00E90874">
        <w:t xml:space="preserve"> la filiation, cet élément </w:t>
      </w:r>
      <w:r w:rsidR="008A3BFE">
        <w:t>invariant</w:t>
      </w:r>
      <w:r w:rsidR="008A3BFE" w:rsidRPr="00E90874">
        <w:t xml:space="preserve"> de définition de notre humanité</w:t>
      </w:r>
      <w:r w:rsidR="008A3BFE" w:rsidRPr="00E90874">
        <w:rPr>
          <w:i/>
        </w:rPr>
        <w:t>.</w:t>
      </w:r>
      <w:r w:rsidR="008A3BFE">
        <w:t xml:space="preserve"> </w:t>
      </w:r>
    </w:p>
    <w:p w14:paraId="0511945D" w14:textId="77777777" w:rsidR="00FA70C9" w:rsidRDefault="00FA70C9" w:rsidP="00FA70C9">
      <w:pPr>
        <w:ind w:left="2832"/>
        <w:jc w:val="both"/>
      </w:pPr>
    </w:p>
    <w:p w14:paraId="0E75623E" w14:textId="77777777" w:rsidR="00FA70C9" w:rsidRDefault="00FA70C9" w:rsidP="00FA70C9">
      <w:pPr>
        <w:ind w:left="2832"/>
        <w:jc w:val="both"/>
      </w:pPr>
      <w:r>
        <w:t>*</w:t>
      </w:r>
      <w:r w:rsidR="008A3BFE">
        <w:t xml:space="preserve">Par ce processus de </w:t>
      </w:r>
      <w:r w:rsidR="008A3BFE" w:rsidRPr="00E90874">
        <w:t>désidentification</w:t>
      </w:r>
      <w:r w:rsidR="008A3BFE" w:rsidRPr="00E90874">
        <w:rPr>
          <w:i/>
        </w:rPr>
        <w:t>,</w:t>
      </w:r>
      <w:r w:rsidR="008A3BFE" w:rsidRPr="00E90874">
        <w:t xml:space="preserve"> la notion même d’ascendance</w:t>
      </w:r>
      <w:r w:rsidR="008A3BFE" w:rsidRPr="00E90874">
        <w:rPr>
          <w:i/>
        </w:rPr>
        <w:t xml:space="preserve"> </w:t>
      </w:r>
      <w:r w:rsidR="008A3BFE" w:rsidRPr="00E90874">
        <w:t>et de descendance</w:t>
      </w:r>
      <w:r w:rsidR="008A3BFE" w:rsidRPr="00A75DAF">
        <w:t xml:space="preserve"> </w:t>
      </w:r>
      <w:r w:rsidR="008A3BFE">
        <w:t xml:space="preserve">est </w:t>
      </w:r>
      <w:r w:rsidR="008A3BFE" w:rsidRPr="00E90874">
        <w:t>détruit</w:t>
      </w:r>
      <w:r w:rsidR="008A3BFE">
        <w:t>e à son tour</w:t>
      </w:r>
      <w:r w:rsidR="008A3BFE" w:rsidRPr="00E90874">
        <w:t xml:space="preserve">. </w:t>
      </w:r>
    </w:p>
    <w:p w14:paraId="4846AFAD" w14:textId="77777777" w:rsidR="00FA70C9" w:rsidRDefault="00FA70C9" w:rsidP="00FA70C9">
      <w:pPr>
        <w:ind w:left="2832"/>
        <w:jc w:val="both"/>
      </w:pPr>
    </w:p>
    <w:p w14:paraId="5ACE60CE" w14:textId="77777777" w:rsidR="00FA70C9" w:rsidRDefault="00FA70C9" w:rsidP="00FA70C9">
      <w:pPr>
        <w:ind w:left="3540"/>
        <w:jc w:val="both"/>
      </w:pPr>
      <w:r>
        <w:t>-</w:t>
      </w:r>
      <w:r w:rsidR="008A3BFE" w:rsidRPr="00E90874">
        <w:t xml:space="preserve">D’où ce qui si souvent s’est produit entre voisins au Rwanda : la fréquence des atteintes à l’appareil reproducteur, le massacre des enfants </w:t>
      </w:r>
      <w:r w:rsidR="008A3BFE" w:rsidRPr="00E90874">
        <w:rPr>
          <w:i/>
        </w:rPr>
        <w:t>devant</w:t>
      </w:r>
      <w:r w:rsidR="008A3BFE" w:rsidRPr="00E90874">
        <w:t xml:space="preserve"> les parents, des parents </w:t>
      </w:r>
      <w:r w:rsidR="008A3BFE" w:rsidRPr="00D6593A">
        <w:rPr>
          <w:i/>
        </w:rPr>
        <w:t>devant</w:t>
      </w:r>
      <w:r w:rsidR="008A3BFE" w:rsidRPr="00E90874">
        <w:t xml:space="preserve"> leurs enfants, le viol systématique des femmes, de préférence </w:t>
      </w:r>
      <w:r w:rsidR="008A3BFE" w:rsidRPr="00E90874">
        <w:rPr>
          <w:i/>
        </w:rPr>
        <w:t>devant</w:t>
      </w:r>
      <w:r w:rsidR="008A3BFE" w:rsidRPr="00E90874">
        <w:t xml:space="preserve"> leurs proches, </w:t>
      </w:r>
      <w:r w:rsidR="008A3BFE" w:rsidRPr="00AF038C">
        <w:rPr>
          <w:i/>
        </w:rPr>
        <w:t>au moyen</w:t>
      </w:r>
      <w:r w:rsidR="008A3BFE" w:rsidRPr="00E90874">
        <w:t xml:space="preserve"> de leurs proches, parfois. </w:t>
      </w:r>
    </w:p>
    <w:p w14:paraId="3A649A53" w14:textId="77777777" w:rsidR="00FA70C9" w:rsidRDefault="00FA70C9" w:rsidP="00FA70C9">
      <w:pPr>
        <w:jc w:val="both"/>
      </w:pPr>
    </w:p>
    <w:p w14:paraId="408133AD" w14:textId="77777777" w:rsidR="00FA70C9" w:rsidRDefault="00FA70C9" w:rsidP="00FA70C9">
      <w:pPr>
        <w:jc w:val="both"/>
      </w:pPr>
      <w:r>
        <w:t>-</w:t>
      </w:r>
      <w:r w:rsidR="008A3BFE" w:rsidRPr="00E90874">
        <w:t xml:space="preserve">Ce qui est dit à l’Autre dans les pratiques de cruauté, ce qui est dit au mort, à sa famille, à sa communauté d’appartenance, c’est qu’il n’est </w:t>
      </w:r>
      <w:r w:rsidR="008A3BFE" w:rsidRPr="00E90874">
        <w:rPr>
          <w:i/>
        </w:rPr>
        <w:t>rien</w:t>
      </w:r>
      <w:r w:rsidR="008A3BFE" w:rsidRPr="00E90874">
        <w:t xml:space="preserve">, littéralement. </w:t>
      </w:r>
    </w:p>
    <w:p w14:paraId="37A83F4D" w14:textId="77777777" w:rsidR="00FA70C9" w:rsidRDefault="00FA70C9" w:rsidP="00FA70C9">
      <w:pPr>
        <w:jc w:val="both"/>
      </w:pPr>
    </w:p>
    <w:p w14:paraId="4C914371" w14:textId="6186D4F3" w:rsidR="008A3BFE" w:rsidRPr="00E90874" w:rsidRDefault="00FA70C9" w:rsidP="00FA70C9">
      <w:pPr>
        <w:ind w:left="1416"/>
        <w:jc w:val="both"/>
      </w:pPr>
      <w:r>
        <w:t>-</w:t>
      </w:r>
      <w:r w:rsidR="008A3BFE" w:rsidRPr="00E90874">
        <w:t>Et ce dire est parfaitement compris pour ce qu’</w:t>
      </w:r>
      <w:r w:rsidR="009812A8">
        <w:t>il est, ainsi que l’exprimait un</w:t>
      </w:r>
      <w:r w:rsidR="008A3BFE" w:rsidRPr="00E90874">
        <w:t xml:space="preserve"> </w:t>
      </w:r>
      <w:r w:rsidR="008A3BFE" w:rsidRPr="00E90874">
        <w:rPr>
          <w:rFonts w:ascii="Cambria" w:eastAsia="Cambria" w:hAnsi="Cambria" w:cs="Times New Roman"/>
        </w:rPr>
        <w:t>rescapé de Kibeho</w:t>
      </w:r>
      <w:r w:rsidR="009812A8">
        <w:rPr>
          <w:rFonts w:ascii="Cambria" w:eastAsia="Cambria" w:hAnsi="Cambria" w:cs="Times New Roman"/>
        </w:rPr>
        <w:t xml:space="preserve"> rencontré en 2014</w:t>
      </w:r>
      <w:r w:rsidR="008A3BFE" w:rsidRPr="00E90874">
        <w:rPr>
          <w:rFonts w:ascii="Cambria" w:eastAsia="Cambria" w:hAnsi="Cambria" w:cs="Times New Roman"/>
        </w:rPr>
        <w:t>: « Je ne suis rien. » </w:t>
      </w:r>
    </w:p>
    <w:p w14:paraId="7BD5110D" w14:textId="77777777" w:rsidR="00FA70C9" w:rsidRDefault="00FA70C9" w:rsidP="00FA70C9">
      <w:pPr>
        <w:jc w:val="both"/>
        <w:rPr>
          <w:rFonts w:ascii="Cambria" w:eastAsia="Cambria" w:hAnsi="Cambria" w:cs="Times New Roman"/>
        </w:rPr>
      </w:pPr>
    </w:p>
    <w:p w14:paraId="37FC191B" w14:textId="77777777" w:rsidR="00FA70C9" w:rsidRDefault="00FA70C9" w:rsidP="00FA70C9">
      <w:pPr>
        <w:jc w:val="both"/>
        <w:rPr>
          <w:rFonts w:ascii="Cambria" w:eastAsia="Cambria" w:hAnsi="Cambria" w:cs="Times New Roman"/>
        </w:rPr>
      </w:pPr>
      <w:r>
        <w:rPr>
          <w:rFonts w:ascii="Cambria" w:eastAsia="Cambria" w:hAnsi="Cambria" w:cs="Times New Roman"/>
        </w:rPr>
        <w:t>-</w:t>
      </w:r>
      <w:r w:rsidR="008A3BFE" w:rsidRPr="00E90874">
        <w:rPr>
          <w:rFonts w:ascii="Cambria" w:eastAsia="Cambria" w:hAnsi="Cambria" w:cs="Times New Roman"/>
        </w:rPr>
        <w:t xml:space="preserve">Et si les pratiques de cruauté se sont déployées avec tant d’intensité entre les voisins, c’est précisément </w:t>
      </w:r>
      <w:r w:rsidR="008A3BFE" w:rsidRPr="00E90874">
        <w:rPr>
          <w:rFonts w:ascii="Cambria" w:eastAsia="Cambria" w:hAnsi="Cambria" w:cs="Times New Roman"/>
          <w:i/>
        </w:rPr>
        <w:t>parce que</w:t>
      </w:r>
      <w:r w:rsidR="008A3BFE" w:rsidRPr="00E90874">
        <w:rPr>
          <w:rFonts w:ascii="Cambria" w:eastAsia="Cambria" w:hAnsi="Cambria" w:cs="Times New Roman"/>
        </w:rPr>
        <w:t xml:space="preserve"> c’étaient les voisins. </w:t>
      </w:r>
    </w:p>
    <w:p w14:paraId="5D5C0489" w14:textId="77777777" w:rsidR="00FA70C9" w:rsidRDefault="00FA70C9" w:rsidP="00FA70C9">
      <w:pPr>
        <w:jc w:val="both"/>
        <w:rPr>
          <w:rFonts w:ascii="Cambria" w:eastAsia="Cambria" w:hAnsi="Cambria" w:cs="Times New Roman"/>
        </w:rPr>
      </w:pPr>
    </w:p>
    <w:p w14:paraId="2E26F2E8" w14:textId="77777777" w:rsidR="00FA70C9" w:rsidRDefault="00FA70C9" w:rsidP="00FA70C9">
      <w:pPr>
        <w:ind w:left="1416"/>
        <w:jc w:val="both"/>
        <w:rPr>
          <w:rFonts w:ascii="Cambria" w:eastAsia="Cambria" w:hAnsi="Cambria" w:cs="Times New Roman"/>
        </w:rPr>
      </w:pPr>
      <w:r>
        <w:rPr>
          <w:rFonts w:ascii="Cambria" w:eastAsia="Cambria" w:hAnsi="Cambria" w:cs="Times New Roman"/>
        </w:rPr>
        <w:t>-</w:t>
      </w:r>
      <w:r w:rsidR="008A3BFE" w:rsidRPr="00E90874">
        <w:rPr>
          <w:rFonts w:ascii="Cambria" w:eastAsia="Cambria" w:hAnsi="Cambria" w:cs="Times New Roman"/>
        </w:rPr>
        <w:t xml:space="preserve">La cruauté est consubstantielle </w:t>
      </w:r>
      <w:r w:rsidR="008A3BFE">
        <w:rPr>
          <w:rFonts w:ascii="Cambria" w:eastAsia="Cambria" w:hAnsi="Cambria" w:cs="Times New Roman"/>
        </w:rPr>
        <w:t>à</w:t>
      </w:r>
      <w:r w:rsidR="008A3BFE" w:rsidRPr="00E90874">
        <w:rPr>
          <w:rFonts w:ascii="Cambria" w:eastAsia="Cambria" w:hAnsi="Cambria" w:cs="Times New Roman"/>
        </w:rPr>
        <w:t xml:space="preserve"> cette violence de voisinage</w:t>
      </w:r>
      <w:r w:rsidR="008A3BFE">
        <w:rPr>
          <w:rFonts w:ascii="Cambria" w:eastAsia="Cambria" w:hAnsi="Cambria" w:cs="Times New Roman"/>
        </w:rPr>
        <w:t>. E</w:t>
      </w:r>
      <w:r w:rsidR="008A3BFE" w:rsidRPr="00E90874">
        <w:rPr>
          <w:rFonts w:ascii="Cambria" w:eastAsia="Cambria" w:hAnsi="Cambria" w:cs="Times New Roman"/>
        </w:rPr>
        <w:t>lle seule</w:t>
      </w:r>
      <w:r w:rsidR="008A3BFE">
        <w:rPr>
          <w:rFonts w:ascii="Cambria" w:eastAsia="Cambria" w:hAnsi="Cambria" w:cs="Times New Roman"/>
        </w:rPr>
        <w:t xml:space="preserve"> peut</w:t>
      </w:r>
      <w:r w:rsidR="008A3BFE" w:rsidRPr="00E90874">
        <w:rPr>
          <w:rFonts w:ascii="Cambria" w:eastAsia="Cambria" w:hAnsi="Cambria" w:cs="Times New Roman"/>
        </w:rPr>
        <w:t xml:space="preserve"> </w:t>
      </w:r>
      <w:r w:rsidR="008A3BFE" w:rsidRPr="00E90874">
        <w:rPr>
          <w:i/>
        </w:rPr>
        <w:t>crée</w:t>
      </w:r>
      <w:r w:rsidR="008A3BFE">
        <w:rPr>
          <w:i/>
        </w:rPr>
        <w:t>r</w:t>
      </w:r>
      <w:r w:rsidR="008A3BFE" w:rsidRPr="00E90874">
        <w:t xml:space="preserve"> à ce point la différence, cette différence qui </w:t>
      </w:r>
      <w:r w:rsidR="008A3BFE" w:rsidRPr="00E90874">
        <w:rPr>
          <w:i/>
        </w:rPr>
        <w:t>manque</w:t>
      </w:r>
      <w:r w:rsidR="008A3BFE" w:rsidRPr="00E90874">
        <w:t xml:space="preserve">, qu’il faut </w:t>
      </w:r>
      <w:r w:rsidR="008A3BFE">
        <w:t xml:space="preserve">donc </w:t>
      </w:r>
      <w:r w:rsidR="008A3BFE" w:rsidRPr="00E90874">
        <w:t>constituer et approfondir.</w:t>
      </w:r>
      <w:r w:rsidR="008A3BFE">
        <w:rPr>
          <w:rFonts w:ascii="Cambria" w:eastAsia="Cambria" w:hAnsi="Cambria" w:cs="Times New Roman"/>
        </w:rPr>
        <w:t xml:space="preserve"> </w:t>
      </w:r>
    </w:p>
    <w:p w14:paraId="274180C7" w14:textId="77777777" w:rsidR="00FA70C9" w:rsidRDefault="00FA70C9" w:rsidP="00FA70C9">
      <w:pPr>
        <w:ind w:left="1416"/>
        <w:jc w:val="both"/>
        <w:rPr>
          <w:rFonts w:ascii="Cambria" w:eastAsia="Cambria" w:hAnsi="Cambria" w:cs="Times New Roman"/>
        </w:rPr>
      </w:pPr>
    </w:p>
    <w:p w14:paraId="16F62B9C" w14:textId="77777777" w:rsidR="00FA70C9" w:rsidRDefault="00FA70C9" w:rsidP="00FA70C9">
      <w:pPr>
        <w:ind w:left="2124"/>
        <w:jc w:val="both"/>
      </w:pPr>
      <w:r>
        <w:rPr>
          <w:rFonts w:ascii="Cambria" w:eastAsia="Cambria" w:hAnsi="Cambria" w:cs="Times New Roman"/>
        </w:rPr>
        <w:t>*</w:t>
      </w:r>
      <w:r w:rsidR="008A3BFE" w:rsidRPr="00E90874">
        <w:t xml:space="preserve">L’autre </w:t>
      </w:r>
      <w:r w:rsidR="008A3BFE">
        <w:t>devient</w:t>
      </w:r>
      <w:r w:rsidR="008A3BFE" w:rsidRPr="00E90874">
        <w:t xml:space="preserve"> </w:t>
      </w:r>
      <w:r w:rsidR="008A3BFE">
        <w:t>en effet tout à fait</w:t>
      </w:r>
      <w:r w:rsidR="008A3BFE" w:rsidRPr="00E90874">
        <w:t xml:space="preserve"> </w:t>
      </w:r>
      <w:r w:rsidR="008A3BFE" w:rsidRPr="00E90874">
        <w:rPr>
          <w:i/>
        </w:rPr>
        <w:t>un autre</w:t>
      </w:r>
      <w:r w:rsidR="008A3BFE">
        <w:t xml:space="preserve">, au vu de ce qu’on lui </w:t>
      </w:r>
      <w:r w:rsidR="008A3BFE" w:rsidRPr="00666E86">
        <w:rPr>
          <w:i/>
        </w:rPr>
        <w:t>fait</w:t>
      </w:r>
      <w:r w:rsidR="008A3BFE">
        <w:t>, et puis</w:t>
      </w:r>
      <w:r w:rsidR="008A3BFE" w:rsidRPr="00E90874">
        <w:t xml:space="preserve">qu’il devient ce qu’il devient. </w:t>
      </w:r>
    </w:p>
    <w:p w14:paraId="6A88C811" w14:textId="77777777" w:rsidR="008A3BFE" w:rsidRDefault="008A3BFE" w:rsidP="00184B84">
      <w:pPr>
        <w:jc w:val="both"/>
      </w:pPr>
      <w:r>
        <w:tab/>
      </w:r>
    </w:p>
    <w:p w14:paraId="1C7016A3" w14:textId="0B7A62A0" w:rsidR="00FA70C9" w:rsidRDefault="00FA70C9" w:rsidP="00FA70C9">
      <w:pPr>
        <w:jc w:val="both"/>
      </w:pPr>
      <w:r>
        <w:t>-</w:t>
      </w:r>
      <w:r w:rsidR="009812A8">
        <w:t>Sur cette « stratégie somatique »</w:t>
      </w:r>
      <w:r w:rsidR="00DF1C51">
        <w:t xml:space="preserve">, il se peut </w:t>
      </w:r>
      <w:r w:rsidR="008A3BFE">
        <w:t>q</w:t>
      </w:r>
      <w:r w:rsidR="00DF1C51">
        <w:t xml:space="preserve">ue Freud ait tout dit très tôt </w:t>
      </w:r>
      <w:r>
        <w:t>l’essentie</w:t>
      </w:r>
      <w:r w:rsidR="00DF1C51">
        <w:t>l  dans un court texte de 1917 :</w:t>
      </w:r>
      <w:r w:rsidR="008A3BFE">
        <w:t xml:space="preserve"> </w:t>
      </w:r>
    </w:p>
    <w:p w14:paraId="13212942" w14:textId="77777777" w:rsidR="00FA70C9" w:rsidRDefault="00FA70C9" w:rsidP="00FA70C9">
      <w:pPr>
        <w:jc w:val="both"/>
      </w:pPr>
    </w:p>
    <w:p w14:paraId="6655A56E" w14:textId="703A03C5" w:rsidR="00FA70C9" w:rsidRDefault="008A3BFE" w:rsidP="00320433">
      <w:pPr>
        <w:ind w:left="1416"/>
        <w:jc w:val="both"/>
      </w:pPr>
      <w:r>
        <w:t>« </w:t>
      </w:r>
      <w:r w:rsidR="00320433">
        <w:t>…</w:t>
      </w:r>
      <w:r>
        <w:t>ce sont justement de petites particularités à côté d’une ressemblance générale qui motivent les sentiments d’hostilité. Il serait tentant d’adopter cette idée et de faire dériver de ce “narcissisme des petites différences“ la haine, qui, dans tous les rapports humains, l’emporte, comme nous pouvons le constater, sur les sentiments de fraternité et sur le précepte de l’amour universel.</w:t>
      </w:r>
      <w:r w:rsidR="00320433" w:rsidRPr="00320433">
        <w:rPr>
          <w:rStyle w:val="Marquenotebasdepage"/>
        </w:rPr>
        <w:t xml:space="preserve"> </w:t>
      </w:r>
      <w:r w:rsidR="00320433">
        <w:rPr>
          <w:rStyle w:val="Marquenotebasdepage"/>
        </w:rPr>
        <w:footnoteReference w:id="4"/>
      </w:r>
      <w:r>
        <w:t xml:space="preserve"> » </w:t>
      </w:r>
    </w:p>
    <w:p w14:paraId="23EBF147" w14:textId="77777777" w:rsidR="00FA70C9" w:rsidRDefault="00FA70C9" w:rsidP="00FA70C9">
      <w:pPr>
        <w:jc w:val="both"/>
      </w:pPr>
    </w:p>
    <w:p w14:paraId="2D93F19B" w14:textId="77777777" w:rsidR="00FA70C9" w:rsidRDefault="00FA70C9" w:rsidP="00FA70C9">
      <w:pPr>
        <w:jc w:val="both"/>
      </w:pPr>
      <w:r>
        <w:t>-</w:t>
      </w:r>
      <w:r w:rsidR="008A3BFE">
        <w:t xml:space="preserve">Pourtant, en dépit de sa brièveté et de sa dimension énigmatique, l’expression nous met sur une piste capitale: la violence des voisins pourrait ne pas puiser ses racines dans la </w:t>
      </w:r>
      <w:r w:rsidR="008A3BFE" w:rsidRPr="00666E86">
        <w:rPr>
          <w:i/>
        </w:rPr>
        <w:t>dissemblance</w:t>
      </w:r>
      <w:r w:rsidR="008A3BFE">
        <w:t xml:space="preserve">, dans la </w:t>
      </w:r>
      <w:r w:rsidR="008A3BFE" w:rsidRPr="00666E86">
        <w:rPr>
          <w:i/>
        </w:rPr>
        <w:t>distance</w:t>
      </w:r>
      <w:r w:rsidR="008A3BFE">
        <w:t xml:space="preserve">, dans </w:t>
      </w:r>
      <w:r w:rsidR="008A3BFE" w:rsidRPr="00666E86">
        <w:rPr>
          <w:i/>
        </w:rPr>
        <w:t>l’altérité</w:t>
      </w:r>
      <w:r w:rsidR="008A3BFE">
        <w:t xml:space="preserve">, mais tout au contraire dans la </w:t>
      </w:r>
      <w:r w:rsidR="008A3BFE" w:rsidRPr="00666E86">
        <w:rPr>
          <w:i/>
        </w:rPr>
        <w:t>ressemblance</w:t>
      </w:r>
      <w:r w:rsidR="008A3BFE">
        <w:t xml:space="preserve">, dans la </w:t>
      </w:r>
      <w:r w:rsidR="008A3BFE" w:rsidRPr="00666E86">
        <w:rPr>
          <w:i/>
        </w:rPr>
        <w:t>proximité</w:t>
      </w:r>
      <w:r w:rsidR="008A3BFE">
        <w:t xml:space="preserve">, dans </w:t>
      </w:r>
      <w:r w:rsidR="008A3BFE" w:rsidRPr="00666E86">
        <w:rPr>
          <w:i/>
        </w:rPr>
        <w:t>l’identité</w:t>
      </w:r>
      <w:r w:rsidR="008A3BFE">
        <w:t xml:space="preserve">. </w:t>
      </w:r>
    </w:p>
    <w:p w14:paraId="1FA8A5B8" w14:textId="77777777" w:rsidR="00FA70C9" w:rsidRDefault="00FA70C9" w:rsidP="00FA70C9">
      <w:pPr>
        <w:jc w:val="both"/>
      </w:pPr>
    </w:p>
    <w:p w14:paraId="23EA5897" w14:textId="77777777" w:rsidR="00FA70C9" w:rsidRDefault="00FA70C9" w:rsidP="00FA70C9">
      <w:pPr>
        <w:ind w:left="1416"/>
        <w:jc w:val="both"/>
      </w:pPr>
      <w:r>
        <w:t>-</w:t>
      </w:r>
      <w:r w:rsidR="008A3BFE">
        <w:t xml:space="preserve">Et dès lors, au Rwanda, il ne sert à rien de se demander: « comment un voisin, un voisin si proche, a-t-il pu faire </w:t>
      </w:r>
      <w:r w:rsidR="008A3BFE" w:rsidRPr="00BE6B04">
        <w:rPr>
          <w:i/>
        </w:rPr>
        <w:t>cela </w:t>
      </w:r>
      <w:r w:rsidR="008A3BFE">
        <w:t xml:space="preserve">? », car c’est précisément </w:t>
      </w:r>
      <w:r w:rsidR="008A3BFE" w:rsidRPr="00FA70C9">
        <w:rPr>
          <w:i/>
        </w:rPr>
        <w:t>parce qu’il était si proche</w:t>
      </w:r>
      <w:r w:rsidR="008A3BFE">
        <w:t xml:space="preserve"> qu’il l’a fait. </w:t>
      </w:r>
    </w:p>
    <w:p w14:paraId="70555D0A" w14:textId="77777777" w:rsidR="00FA70C9" w:rsidRDefault="00FA70C9" w:rsidP="00FA70C9">
      <w:pPr>
        <w:ind w:left="1416"/>
        <w:jc w:val="both"/>
      </w:pPr>
    </w:p>
    <w:p w14:paraId="15DF2DB7" w14:textId="77777777" w:rsidR="008A3BFE" w:rsidRDefault="00FA70C9" w:rsidP="00FA70C9">
      <w:pPr>
        <w:ind w:left="2124"/>
        <w:jc w:val="both"/>
      </w:pPr>
      <w:r>
        <w:t>*</w:t>
      </w:r>
      <w:r w:rsidR="008A3BFE">
        <w:t xml:space="preserve">C’est dans la proximité – la proximité extrême – que se loverait la réponse à l’énigme de 1994. Osons le dire: non dans la différence </w:t>
      </w:r>
      <w:r w:rsidR="008A3BFE" w:rsidRPr="00FA70C9">
        <w:rPr>
          <w:i/>
        </w:rPr>
        <w:t>mineure</w:t>
      </w:r>
      <w:r w:rsidR="008A3BFE">
        <w:t xml:space="preserve">, mais dans la différence </w:t>
      </w:r>
      <w:r w:rsidR="008A3BFE" w:rsidRPr="00501B3A">
        <w:rPr>
          <w:i/>
        </w:rPr>
        <w:t>inexistante</w:t>
      </w:r>
      <w:r w:rsidR="008A3BFE">
        <w:t>.</w:t>
      </w:r>
    </w:p>
    <w:p w14:paraId="17F1BB28" w14:textId="7CAF8A55" w:rsidR="00666E86" w:rsidRDefault="008A3BFE" w:rsidP="00320433">
      <w:pPr>
        <w:jc w:val="both"/>
      </w:pPr>
      <w:r>
        <w:tab/>
      </w:r>
    </w:p>
    <w:p w14:paraId="2FA5B47D" w14:textId="77777777" w:rsidR="00FA70C9" w:rsidRDefault="00666E86" w:rsidP="00666E86">
      <w:pPr>
        <w:ind w:left="2124"/>
        <w:jc w:val="both"/>
      </w:pPr>
      <w:r>
        <w:t>*</w:t>
      </w:r>
      <w:r w:rsidR="008A3BFE">
        <w:t>Le leader druze Walid Joumblatt a tout dit, et tout compris peut-être, lorsqu’il a lancé en 1986: « L’ennemi est à l’intérieur de chacun de nous</w:t>
      </w:r>
      <w:r w:rsidR="008A3BFE">
        <w:rPr>
          <w:rStyle w:val="Marquenotebasdepage"/>
        </w:rPr>
        <w:footnoteReference w:id="5"/>
      </w:r>
      <w:r w:rsidR="008A3BFE">
        <w:t xml:space="preserve">. » </w:t>
      </w:r>
    </w:p>
    <w:p w14:paraId="505A655C" w14:textId="77777777" w:rsidR="00097B30" w:rsidRDefault="00097B30" w:rsidP="00184B84">
      <w:pPr>
        <w:jc w:val="both"/>
      </w:pPr>
    </w:p>
    <w:p w14:paraId="10A00FAD" w14:textId="1F6CC345" w:rsidR="00097B30" w:rsidRDefault="00C56145" w:rsidP="00097B30">
      <w:pPr>
        <w:jc w:val="both"/>
      </w:pPr>
      <w:r>
        <w:t>-Et</w:t>
      </w:r>
      <w:r w:rsidRPr="00C56145">
        <w:t xml:space="preserve"> dès lors, l</w:t>
      </w:r>
      <w:r w:rsidR="00320433" w:rsidRPr="00C56145">
        <w:t>a question qui se pose à nous</w:t>
      </w:r>
      <w:r w:rsidRPr="00C56145">
        <w:t xml:space="preserve"> pourrait être la suivante </w:t>
      </w:r>
      <w:r w:rsidR="008A3BFE" w:rsidRPr="00C56145">
        <w:t xml:space="preserve">: </w:t>
      </w:r>
      <w:r w:rsidR="005C6E55">
        <w:t>l</w:t>
      </w:r>
      <w:r w:rsidR="00097B30">
        <w:t xml:space="preserve">e GTR </w:t>
      </w:r>
      <w:r w:rsidR="005C6E55">
        <w:t>exprime-t-il plus que lui-même</w:t>
      </w:r>
      <w:r w:rsidR="00097B30">
        <w:t xml:space="preserve">? </w:t>
      </w:r>
    </w:p>
    <w:p w14:paraId="67861485" w14:textId="77777777" w:rsidR="00097B30" w:rsidRDefault="00097B30" w:rsidP="00097B30">
      <w:pPr>
        <w:jc w:val="both"/>
      </w:pPr>
    </w:p>
    <w:p w14:paraId="1DCE26C2" w14:textId="77777777" w:rsidR="00097B30" w:rsidRDefault="00097B30" w:rsidP="00097B30">
      <w:pPr>
        <w:ind w:left="1416"/>
        <w:jc w:val="both"/>
      </w:pPr>
      <w:r>
        <w:t>-D</w:t>
      </w:r>
      <w:r w:rsidR="008A3BFE">
        <w:t xml:space="preserve">ans quelle configuration nous trouvons-nous aujourd’hui, dans quelle configuration pourrions-nous nous trouver un jour ? </w:t>
      </w:r>
    </w:p>
    <w:p w14:paraId="08B19E4C" w14:textId="77777777" w:rsidR="00097B30" w:rsidRDefault="00097B30" w:rsidP="00097B30">
      <w:pPr>
        <w:ind w:left="1416"/>
        <w:jc w:val="both"/>
      </w:pPr>
    </w:p>
    <w:p w14:paraId="619CD3CF" w14:textId="4DEF2694" w:rsidR="00097B30" w:rsidRDefault="00C56145" w:rsidP="00C56145">
      <w:pPr>
        <w:ind w:left="1416"/>
        <w:jc w:val="both"/>
      </w:pPr>
      <w:r>
        <w:t>-Sommes nous plus près que nous le pensons d’un</w:t>
      </w:r>
      <w:r w:rsidR="008A3BFE">
        <w:t xml:space="preserve"> moment où la violence des voisins pourrait faire </w:t>
      </w:r>
      <w:r w:rsidR="00097B30">
        <w:t>irruption dans notre quotidien ?</w:t>
      </w:r>
    </w:p>
    <w:p w14:paraId="58769120" w14:textId="77777777" w:rsidR="00097B30" w:rsidRDefault="00097B30" w:rsidP="00097B30">
      <w:pPr>
        <w:ind w:left="2124"/>
        <w:jc w:val="both"/>
      </w:pPr>
    </w:p>
    <w:p w14:paraId="57AA6C2A" w14:textId="77777777" w:rsidR="008A3BFE" w:rsidRDefault="00097B30" w:rsidP="00C56145">
      <w:pPr>
        <w:jc w:val="both"/>
      </w:pPr>
      <w:r>
        <w:t>-</w:t>
      </w:r>
      <w:r w:rsidR="008A3BFE">
        <w:t>La leçon de violence des mois rwandais d’avril-juillet 1994 mérite en tout cas d’être méditée</w:t>
      </w:r>
      <w:r>
        <w:t xml:space="preserve">: </w:t>
      </w:r>
      <w:r w:rsidR="00E635C2">
        <w:t xml:space="preserve">à mes yeux, </w:t>
      </w:r>
      <w:r>
        <w:t>e</w:t>
      </w:r>
      <w:r w:rsidR="008A3BFE">
        <w:t xml:space="preserve">lle est un </w:t>
      </w:r>
      <w:r w:rsidR="008A3BFE" w:rsidRPr="00E635C2">
        <w:rPr>
          <w:i/>
        </w:rPr>
        <w:t>avertissement</w:t>
      </w:r>
      <w:r w:rsidR="008A3BFE">
        <w:t>.</w:t>
      </w:r>
    </w:p>
    <w:p w14:paraId="4004648B" w14:textId="77777777" w:rsidR="00E635C2" w:rsidRDefault="00E635C2" w:rsidP="00E635C2">
      <w:pPr>
        <w:rPr>
          <w:rFonts w:ascii="Times New Roman" w:hAnsi="Times New Roman"/>
          <w:b/>
        </w:rPr>
      </w:pPr>
    </w:p>
    <w:p w14:paraId="039207CF" w14:textId="77777777" w:rsidR="00E635C2" w:rsidRDefault="00E635C2" w:rsidP="00E635C2">
      <w:pPr>
        <w:rPr>
          <w:rFonts w:ascii="Times New Roman" w:hAnsi="Times New Roman"/>
          <w:b/>
        </w:rPr>
      </w:pPr>
    </w:p>
    <w:p w14:paraId="1442457A" w14:textId="453342DD" w:rsidR="008A3BFE" w:rsidRPr="008A42A7" w:rsidRDefault="00320433" w:rsidP="00E635C2">
      <w:pPr>
        <w:rPr>
          <w:rFonts w:ascii="Times New Roman" w:hAnsi="Times New Roman"/>
          <w:b/>
        </w:rPr>
      </w:pPr>
      <w:r>
        <w:rPr>
          <w:rFonts w:ascii="Times New Roman" w:hAnsi="Times New Roman"/>
          <w:b/>
        </w:rPr>
        <w:t>2</w:t>
      </w:r>
      <w:r w:rsidR="00D06667">
        <w:rPr>
          <w:rFonts w:ascii="Times New Roman" w:hAnsi="Times New Roman"/>
          <w:b/>
        </w:rPr>
        <w:t xml:space="preserve"> – </w:t>
      </w:r>
      <w:r w:rsidR="008A3BFE">
        <w:rPr>
          <w:rFonts w:ascii="Times New Roman" w:hAnsi="Times New Roman"/>
          <w:b/>
        </w:rPr>
        <w:t>Massacrer dans les lieux sacrés.</w:t>
      </w:r>
    </w:p>
    <w:p w14:paraId="4D70126A" w14:textId="77777777" w:rsidR="008A3BFE" w:rsidRPr="008A42A7" w:rsidRDefault="008A3BFE" w:rsidP="00EB04B6">
      <w:pPr>
        <w:jc w:val="both"/>
        <w:rPr>
          <w:rFonts w:ascii="Times New Roman" w:hAnsi="Times New Roman"/>
        </w:rPr>
      </w:pPr>
    </w:p>
    <w:p w14:paraId="5F7F5615" w14:textId="5798ADF4" w:rsidR="00EB04B6" w:rsidRDefault="00EB04B6" w:rsidP="00EB04B6">
      <w:pPr>
        <w:jc w:val="both"/>
        <w:rPr>
          <w:rFonts w:ascii="Times New Roman" w:hAnsi="Times New Roman"/>
        </w:rPr>
      </w:pPr>
      <w:r>
        <w:rPr>
          <w:rFonts w:ascii="Times New Roman" w:hAnsi="Times New Roman"/>
        </w:rPr>
        <w:t xml:space="preserve">Au Rwanda, les églises ont été le </w:t>
      </w:r>
      <w:r w:rsidRPr="002A3CFA">
        <w:rPr>
          <w:rFonts w:ascii="Times New Roman" w:hAnsi="Times New Roman"/>
          <w:i/>
        </w:rPr>
        <w:t>deuxième</w:t>
      </w:r>
      <w:r>
        <w:rPr>
          <w:rFonts w:ascii="Times New Roman" w:hAnsi="Times New Roman"/>
        </w:rPr>
        <w:t xml:space="preserve"> lieu de massacre (après « les collines ») : on ne compte pas le nombre d’églises à l’intérieur (et dans</w:t>
      </w:r>
      <w:r w:rsidR="002A3CFA">
        <w:rPr>
          <w:rFonts w:ascii="Times New Roman" w:hAnsi="Times New Roman"/>
        </w:rPr>
        <w:t xml:space="preserve"> </w:t>
      </w:r>
      <w:r>
        <w:rPr>
          <w:rFonts w:ascii="Times New Roman" w:hAnsi="Times New Roman"/>
        </w:rPr>
        <w:t xml:space="preserve">le périmètre desquelles) des milliers de victimes ont été massacrées : </w:t>
      </w:r>
    </w:p>
    <w:p w14:paraId="33163AD9" w14:textId="77777777" w:rsidR="00EB04B6" w:rsidRDefault="00EB04B6" w:rsidP="00EB04B6">
      <w:pPr>
        <w:ind w:left="708"/>
        <w:jc w:val="both"/>
        <w:rPr>
          <w:rFonts w:ascii="Times New Roman" w:hAnsi="Times New Roman"/>
        </w:rPr>
      </w:pPr>
    </w:p>
    <w:p w14:paraId="76DC5ACA" w14:textId="77777777" w:rsidR="00EB04B6" w:rsidRDefault="00EB04B6" w:rsidP="00EB04B6">
      <w:pPr>
        <w:ind w:left="708"/>
        <w:jc w:val="both"/>
        <w:rPr>
          <w:rFonts w:ascii="Times New Roman" w:hAnsi="Times New Roman"/>
        </w:rPr>
      </w:pPr>
      <w:r>
        <w:rPr>
          <w:rFonts w:ascii="Times New Roman" w:hAnsi="Times New Roman"/>
        </w:rPr>
        <w:t>-</w:t>
      </w:r>
      <w:r w:rsidRPr="008A42A7">
        <w:rPr>
          <w:rFonts w:ascii="Times New Roman" w:hAnsi="Times New Roman"/>
        </w:rPr>
        <w:t xml:space="preserve">Les églises </w:t>
      </w:r>
      <w:r w:rsidR="002A3CFA">
        <w:rPr>
          <w:rFonts w:ascii="Times New Roman" w:hAnsi="Times New Roman"/>
        </w:rPr>
        <w:t>ont compté</w:t>
      </w:r>
      <w:r w:rsidRPr="008A42A7">
        <w:rPr>
          <w:rFonts w:ascii="Times New Roman" w:hAnsi="Times New Roman"/>
        </w:rPr>
        <w:t xml:space="preserve"> parmi les </w:t>
      </w:r>
      <w:r w:rsidRPr="002A3CFA">
        <w:rPr>
          <w:rFonts w:ascii="Times New Roman" w:hAnsi="Times New Roman"/>
          <w:i/>
        </w:rPr>
        <w:t>épicentres</w:t>
      </w:r>
      <w:r>
        <w:rPr>
          <w:rFonts w:ascii="Times New Roman" w:hAnsi="Times New Roman"/>
        </w:rPr>
        <w:t xml:space="preserve"> de la</w:t>
      </w:r>
      <w:r w:rsidR="002A3CFA">
        <w:rPr>
          <w:rFonts w:ascii="Times New Roman" w:hAnsi="Times New Roman"/>
        </w:rPr>
        <w:t xml:space="preserve"> violence meurtrière. E</w:t>
      </w:r>
      <w:r>
        <w:rPr>
          <w:rFonts w:ascii="Times New Roman" w:hAnsi="Times New Roman"/>
        </w:rPr>
        <w:t xml:space="preserve">lles avaient </w:t>
      </w:r>
      <w:r w:rsidRPr="00EB04B6">
        <w:rPr>
          <w:rFonts w:ascii="Times New Roman" w:hAnsi="Times New Roman"/>
          <w:i/>
        </w:rPr>
        <w:t>toujours</w:t>
      </w:r>
      <w:r>
        <w:rPr>
          <w:rFonts w:ascii="Times New Roman" w:hAnsi="Times New Roman"/>
        </w:rPr>
        <w:t xml:space="preserve"> protégé les Tutsi lors des m</w:t>
      </w:r>
      <w:r w:rsidR="002A3CFA">
        <w:rPr>
          <w:rFonts w:ascii="Times New Roman" w:hAnsi="Times New Roman"/>
        </w:rPr>
        <w:t>assacres déployés depuis 1959, mais ce fut l’inverse</w:t>
      </w:r>
      <w:r>
        <w:rPr>
          <w:rFonts w:ascii="Times New Roman" w:hAnsi="Times New Roman"/>
        </w:rPr>
        <w:t xml:space="preserve"> en 1994.</w:t>
      </w:r>
    </w:p>
    <w:p w14:paraId="7E93EDEA" w14:textId="77777777" w:rsidR="00EB04B6" w:rsidRDefault="00EB04B6" w:rsidP="00EB04B6">
      <w:pPr>
        <w:ind w:left="708"/>
        <w:jc w:val="both"/>
        <w:rPr>
          <w:rFonts w:ascii="Times New Roman" w:hAnsi="Times New Roman"/>
        </w:rPr>
      </w:pPr>
    </w:p>
    <w:p w14:paraId="0C1B3800" w14:textId="77777777" w:rsidR="008A3BFE" w:rsidRPr="008A42A7" w:rsidRDefault="002A3CFA" w:rsidP="00EF4ACC">
      <w:pPr>
        <w:ind w:left="2124"/>
        <w:jc w:val="both"/>
        <w:rPr>
          <w:rFonts w:ascii="Times New Roman" w:hAnsi="Times New Roman"/>
        </w:rPr>
      </w:pPr>
      <w:r>
        <w:rPr>
          <w:rFonts w:ascii="Times New Roman" w:hAnsi="Times New Roman"/>
        </w:rPr>
        <w:t>*Nyamata :</w:t>
      </w:r>
      <w:r w:rsidR="00EB04B6">
        <w:rPr>
          <w:rFonts w:ascii="Times New Roman" w:hAnsi="Times New Roman"/>
        </w:rPr>
        <w:t xml:space="preserve"> </w:t>
      </w:r>
      <w:r w:rsidR="008A3BFE" w:rsidRPr="008A42A7">
        <w:rPr>
          <w:rFonts w:ascii="Times New Roman" w:hAnsi="Times New Roman"/>
        </w:rPr>
        <w:t>11.000 personnes sont mortes dans l’église</w:t>
      </w:r>
      <w:r w:rsidR="008A3BFE">
        <w:rPr>
          <w:rFonts w:ascii="Times New Roman" w:hAnsi="Times New Roman"/>
        </w:rPr>
        <w:t xml:space="preserve"> et à ses abords</w:t>
      </w:r>
      <w:r w:rsidR="008A3BFE" w:rsidRPr="008A42A7">
        <w:rPr>
          <w:rFonts w:ascii="Times New Roman" w:hAnsi="Times New Roman"/>
        </w:rPr>
        <w:t xml:space="preserve"> </w:t>
      </w:r>
      <w:r w:rsidR="008A3BFE">
        <w:rPr>
          <w:rFonts w:ascii="Times New Roman" w:hAnsi="Times New Roman"/>
        </w:rPr>
        <w:t>autour du 11 avril</w:t>
      </w:r>
      <w:r w:rsidR="00EF4ACC">
        <w:rPr>
          <w:rFonts w:ascii="Times New Roman" w:hAnsi="Times New Roman"/>
        </w:rPr>
        <w:t>, le site regroupant</w:t>
      </w:r>
      <w:r w:rsidR="008A3BFE" w:rsidRPr="008A42A7">
        <w:rPr>
          <w:rFonts w:ascii="Times New Roman" w:hAnsi="Times New Roman"/>
        </w:rPr>
        <w:t xml:space="preserve"> à présent les corps de 20.000 victimes tombées dans les environs. </w:t>
      </w:r>
    </w:p>
    <w:p w14:paraId="698A57FD" w14:textId="7C75C730" w:rsidR="00EF4ACC" w:rsidRDefault="008A3BFE" w:rsidP="00B07540">
      <w:pPr>
        <w:ind w:firstLine="708"/>
        <w:jc w:val="both"/>
        <w:rPr>
          <w:rFonts w:ascii="Times New Roman" w:hAnsi="Times New Roman"/>
        </w:rPr>
      </w:pPr>
      <w:r w:rsidRPr="008A42A7">
        <w:rPr>
          <w:rFonts w:ascii="Times New Roman" w:hAnsi="Times New Roman"/>
        </w:rPr>
        <w:t xml:space="preserve"> </w:t>
      </w:r>
    </w:p>
    <w:p w14:paraId="7B5E77D9" w14:textId="77777777" w:rsidR="00EF4ACC" w:rsidRDefault="002A3CFA" w:rsidP="00EF4ACC">
      <w:pPr>
        <w:ind w:left="2124"/>
        <w:jc w:val="both"/>
        <w:rPr>
          <w:rFonts w:ascii="Times New Roman" w:hAnsi="Times New Roman"/>
        </w:rPr>
      </w:pPr>
      <w:r>
        <w:rPr>
          <w:rFonts w:ascii="Times New Roman" w:hAnsi="Times New Roman"/>
        </w:rPr>
        <w:t>*A</w:t>
      </w:r>
      <w:r w:rsidR="008A3BFE">
        <w:rPr>
          <w:rFonts w:ascii="Times New Roman" w:hAnsi="Times New Roman"/>
        </w:rPr>
        <w:t xml:space="preserve"> </w:t>
      </w:r>
      <w:r w:rsidR="008A3BFE" w:rsidRPr="008A42A7">
        <w:rPr>
          <w:rFonts w:ascii="Times New Roman" w:hAnsi="Times New Roman"/>
        </w:rPr>
        <w:t>Kibeho</w:t>
      </w:r>
      <w:r>
        <w:rPr>
          <w:rFonts w:ascii="Times New Roman" w:hAnsi="Times New Roman"/>
        </w:rPr>
        <w:t xml:space="preserve">, </w:t>
      </w:r>
      <w:r w:rsidR="008A3BFE" w:rsidRPr="008A42A7">
        <w:rPr>
          <w:rFonts w:ascii="Times New Roman" w:hAnsi="Times New Roman"/>
        </w:rPr>
        <w:t>la tuerie a été d’une violence particulière. 15.000 personn</w:t>
      </w:r>
      <w:r w:rsidR="008A3BFE">
        <w:rPr>
          <w:rFonts w:ascii="Times New Roman" w:hAnsi="Times New Roman"/>
        </w:rPr>
        <w:t xml:space="preserve">es </w:t>
      </w:r>
      <w:r>
        <w:rPr>
          <w:rFonts w:ascii="Times New Roman" w:hAnsi="Times New Roman"/>
        </w:rPr>
        <w:t xml:space="preserve">y </w:t>
      </w:r>
      <w:r w:rsidR="008A3BFE">
        <w:rPr>
          <w:rFonts w:ascii="Times New Roman" w:hAnsi="Times New Roman"/>
        </w:rPr>
        <w:t>auraient été massacrées le 14</w:t>
      </w:r>
      <w:r w:rsidR="008A3BFE" w:rsidRPr="008A42A7">
        <w:rPr>
          <w:rFonts w:ascii="Times New Roman" w:hAnsi="Times New Roman"/>
        </w:rPr>
        <w:t xml:space="preserve"> avril, les prêtres du lieu s’étant séparés, semble-t-il, entre une victime certaine</w:t>
      </w:r>
      <w:r w:rsidR="008A3BFE">
        <w:rPr>
          <w:rFonts w:ascii="Times New Roman" w:hAnsi="Times New Roman"/>
        </w:rPr>
        <w:t xml:space="preserve"> – l’abbé Jean-Pierre Ngoga, qui a organisé la résistance avant d’être assassiné plus tard à Butare –</w:t>
      </w:r>
      <w:r w:rsidR="008A3BFE" w:rsidRPr="008A42A7">
        <w:rPr>
          <w:rFonts w:ascii="Times New Roman" w:hAnsi="Times New Roman"/>
        </w:rPr>
        <w:t xml:space="preserve"> et de possibles bourreaux. </w:t>
      </w:r>
    </w:p>
    <w:p w14:paraId="7228B218" w14:textId="77777777" w:rsidR="00EF4ACC" w:rsidRDefault="008A3BFE" w:rsidP="00EF4ACC">
      <w:pPr>
        <w:ind w:left="2124"/>
        <w:jc w:val="both"/>
        <w:rPr>
          <w:rFonts w:ascii="Times New Roman" w:hAnsi="Times New Roman"/>
        </w:rPr>
      </w:pPr>
      <w:r w:rsidRPr="008A42A7">
        <w:rPr>
          <w:rFonts w:ascii="Times New Roman" w:hAnsi="Times New Roman"/>
        </w:rPr>
        <w:t>Comme ailleurs, le bâtiment a été attaqué de l’extérieur: les murs de briques ont été percés en de nombreux endroits, des grenades ont été jetées, puis le massacre a continué à la machet</w:t>
      </w:r>
      <w:r>
        <w:rPr>
          <w:rFonts w:ascii="Times New Roman" w:hAnsi="Times New Roman"/>
        </w:rPr>
        <w:t>te et à la massue. Un</w:t>
      </w:r>
      <w:r w:rsidRPr="008A42A7">
        <w:rPr>
          <w:rFonts w:ascii="Times New Roman" w:hAnsi="Times New Roman"/>
        </w:rPr>
        <w:t xml:space="preserve"> </w:t>
      </w:r>
      <w:r>
        <w:rPr>
          <w:rFonts w:ascii="Times New Roman" w:hAnsi="Times New Roman"/>
        </w:rPr>
        <w:t>incendie intentionnel</w:t>
      </w:r>
      <w:r w:rsidRPr="008A42A7">
        <w:rPr>
          <w:rFonts w:ascii="Times New Roman" w:hAnsi="Times New Roman"/>
        </w:rPr>
        <w:t xml:space="preserve"> a ensuite fait s’effondrer le toit. </w:t>
      </w:r>
    </w:p>
    <w:p w14:paraId="1E454313" w14:textId="77777777" w:rsidR="002A3CFA" w:rsidRDefault="002A3CFA" w:rsidP="00EF4ACC">
      <w:pPr>
        <w:ind w:left="2124"/>
        <w:jc w:val="both"/>
        <w:rPr>
          <w:rFonts w:ascii="Times New Roman" w:hAnsi="Times New Roman"/>
        </w:rPr>
      </w:pPr>
    </w:p>
    <w:p w14:paraId="622AE939" w14:textId="77777777" w:rsidR="00EF4ACC" w:rsidRDefault="002A3CFA" w:rsidP="002A3CFA">
      <w:pPr>
        <w:ind w:left="3540"/>
        <w:jc w:val="both"/>
        <w:rPr>
          <w:rFonts w:ascii="Times New Roman" w:hAnsi="Times New Roman"/>
        </w:rPr>
      </w:pPr>
      <w:r>
        <w:rPr>
          <w:rFonts w:ascii="Times New Roman" w:hAnsi="Times New Roman"/>
        </w:rPr>
        <w:t>-</w:t>
      </w:r>
      <w:r w:rsidR="008A3BFE">
        <w:rPr>
          <w:rFonts w:ascii="Times New Roman" w:hAnsi="Times New Roman"/>
        </w:rPr>
        <w:t>Sur place,</w:t>
      </w:r>
      <w:r w:rsidR="008A3BFE" w:rsidRPr="008A42A7">
        <w:rPr>
          <w:rFonts w:ascii="Times New Roman" w:hAnsi="Times New Roman"/>
        </w:rPr>
        <w:t xml:space="preserve"> les mains de la statue de la Vierge ont été coupées elles aussi.</w:t>
      </w:r>
    </w:p>
    <w:p w14:paraId="38DAE450" w14:textId="77777777" w:rsidR="008A3BFE" w:rsidRPr="008A42A7" w:rsidRDefault="008A3BFE" w:rsidP="00EF4ACC">
      <w:pPr>
        <w:jc w:val="both"/>
        <w:rPr>
          <w:rFonts w:ascii="Times New Roman" w:hAnsi="Times New Roman"/>
        </w:rPr>
      </w:pPr>
      <w:r w:rsidRPr="008A42A7">
        <w:rPr>
          <w:rFonts w:ascii="Times New Roman" w:hAnsi="Times New Roman"/>
        </w:rPr>
        <w:tab/>
      </w:r>
    </w:p>
    <w:p w14:paraId="407596AC" w14:textId="77777777" w:rsidR="008A3BFE" w:rsidRPr="008A42A7" w:rsidRDefault="00EF4ACC" w:rsidP="00EF4ACC">
      <w:pPr>
        <w:ind w:left="2120"/>
        <w:jc w:val="both"/>
        <w:rPr>
          <w:rFonts w:ascii="Times New Roman" w:hAnsi="Times New Roman"/>
        </w:rPr>
      </w:pPr>
      <w:r>
        <w:rPr>
          <w:rFonts w:ascii="Times New Roman" w:hAnsi="Times New Roman"/>
        </w:rPr>
        <w:t>*</w:t>
      </w:r>
      <w:r w:rsidR="002A3CFA">
        <w:rPr>
          <w:rFonts w:ascii="Times New Roman" w:hAnsi="Times New Roman"/>
        </w:rPr>
        <w:t>Nyange (Est</w:t>
      </w:r>
      <w:r w:rsidR="002A3CFA" w:rsidRPr="008A42A7">
        <w:rPr>
          <w:rFonts w:ascii="Times New Roman" w:hAnsi="Times New Roman"/>
        </w:rPr>
        <w:t xml:space="preserve"> de la préfecture de Kibuye</w:t>
      </w:r>
      <w:r w:rsidR="002A3CFA">
        <w:rPr>
          <w:rFonts w:ascii="Times New Roman" w:hAnsi="Times New Roman"/>
        </w:rPr>
        <w:t>)</w:t>
      </w:r>
      <w:r w:rsidR="008A3BFE" w:rsidRPr="008A42A7">
        <w:rPr>
          <w:rFonts w:ascii="Times New Roman" w:hAnsi="Times New Roman"/>
        </w:rPr>
        <w:t xml:space="preserve"> </w:t>
      </w:r>
      <w:r>
        <w:rPr>
          <w:rFonts w:ascii="Times New Roman" w:hAnsi="Times New Roman"/>
        </w:rPr>
        <w:t>pose</w:t>
      </w:r>
      <w:r w:rsidR="002A3CFA">
        <w:rPr>
          <w:rFonts w:ascii="Times New Roman" w:hAnsi="Times New Roman"/>
        </w:rPr>
        <w:t xml:space="preserve"> d</w:t>
      </w:r>
      <w:r w:rsidR="008A3BFE" w:rsidRPr="008A42A7">
        <w:rPr>
          <w:rFonts w:ascii="Times New Roman" w:hAnsi="Times New Roman"/>
        </w:rPr>
        <w:t>es questions plus lourdes</w:t>
      </w:r>
      <w:r w:rsidR="002A3CFA">
        <w:rPr>
          <w:rFonts w:ascii="Times New Roman" w:hAnsi="Times New Roman"/>
        </w:rPr>
        <w:t xml:space="preserve"> encore</w:t>
      </w:r>
      <w:r w:rsidR="008A3BFE" w:rsidRPr="008A42A7">
        <w:rPr>
          <w:rFonts w:ascii="Times New Roman" w:hAnsi="Times New Roman"/>
        </w:rPr>
        <w:t xml:space="preserve">. </w:t>
      </w:r>
    </w:p>
    <w:p w14:paraId="7A221481" w14:textId="77777777" w:rsidR="00EF4ACC" w:rsidRDefault="00EF4ACC" w:rsidP="00EF4ACC">
      <w:pPr>
        <w:ind w:left="2120"/>
        <w:jc w:val="both"/>
        <w:rPr>
          <w:rFonts w:ascii="Times New Roman" w:hAnsi="Times New Roman"/>
        </w:rPr>
      </w:pPr>
    </w:p>
    <w:p w14:paraId="087998C5" w14:textId="77777777" w:rsidR="00EF4ACC" w:rsidRDefault="00EF4ACC" w:rsidP="00EF4ACC">
      <w:pPr>
        <w:ind w:left="2832"/>
        <w:jc w:val="both"/>
        <w:rPr>
          <w:rFonts w:ascii="Times New Roman" w:hAnsi="Times New Roman"/>
        </w:rPr>
      </w:pPr>
      <w:r>
        <w:rPr>
          <w:rFonts w:ascii="Times New Roman" w:hAnsi="Times New Roman"/>
        </w:rPr>
        <w:t>*</w:t>
      </w:r>
      <w:r w:rsidR="008A3BFE" w:rsidRPr="008A42A7">
        <w:rPr>
          <w:rFonts w:ascii="Times New Roman" w:hAnsi="Times New Roman"/>
        </w:rPr>
        <w:t xml:space="preserve">Dès la </w:t>
      </w:r>
      <w:r w:rsidR="002A3CFA">
        <w:rPr>
          <w:rFonts w:ascii="Times New Roman" w:hAnsi="Times New Roman"/>
        </w:rPr>
        <w:t>10 avril</w:t>
      </w:r>
      <w:r w:rsidR="008A3BFE" w:rsidRPr="008A42A7">
        <w:rPr>
          <w:rFonts w:ascii="Times New Roman" w:hAnsi="Times New Roman"/>
        </w:rPr>
        <w:t xml:space="preserve">, les victimes se sont réfugiées dans la grande église, attaquée une première fois le 15, </w:t>
      </w:r>
      <w:r w:rsidR="008A3BFE">
        <w:rPr>
          <w:rFonts w:ascii="Times New Roman" w:hAnsi="Times New Roman"/>
        </w:rPr>
        <w:t xml:space="preserve">mais sans succès, </w:t>
      </w:r>
      <w:r w:rsidR="008A3BFE" w:rsidRPr="008A42A7">
        <w:rPr>
          <w:rFonts w:ascii="Times New Roman" w:hAnsi="Times New Roman"/>
        </w:rPr>
        <w:t xml:space="preserve">les réfugiés </w:t>
      </w:r>
      <w:r w:rsidR="008A3BFE">
        <w:rPr>
          <w:rFonts w:ascii="Times New Roman" w:hAnsi="Times New Roman"/>
        </w:rPr>
        <w:t>éta</w:t>
      </w:r>
      <w:r w:rsidR="008A3BFE" w:rsidRPr="008A42A7">
        <w:rPr>
          <w:rFonts w:ascii="Times New Roman" w:hAnsi="Times New Roman"/>
        </w:rPr>
        <w:t xml:space="preserve">nt parvenus à se barricader et à repousser leurs agresseurs à coups de pierres. </w:t>
      </w:r>
    </w:p>
    <w:p w14:paraId="3BE67371" w14:textId="77777777" w:rsidR="00EF4ACC" w:rsidRDefault="00EF4ACC" w:rsidP="00EF4ACC">
      <w:pPr>
        <w:ind w:left="2832"/>
        <w:jc w:val="both"/>
        <w:rPr>
          <w:rFonts w:ascii="Times New Roman" w:hAnsi="Times New Roman"/>
        </w:rPr>
      </w:pPr>
    </w:p>
    <w:p w14:paraId="12E78088" w14:textId="77777777" w:rsidR="002A3CFA" w:rsidRDefault="00EF4ACC" w:rsidP="00EF4ACC">
      <w:pPr>
        <w:ind w:left="2832"/>
        <w:jc w:val="both"/>
        <w:rPr>
          <w:rFonts w:ascii="Times New Roman" w:hAnsi="Times New Roman"/>
        </w:rPr>
      </w:pPr>
      <w:r>
        <w:rPr>
          <w:rFonts w:ascii="Times New Roman" w:hAnsi="Times New Roman"/>
        </w:rPr>
        <w:t>*</w:t>
      </w:r>
      <w:r w:rsidR="008A3BFE" w:rsidRPr="008A42A7">
        <w:rPr>
          <w:rFonts w:ascii="Times New Roman" w:hAnsi="Times New Roman"/>
        </w:rPr>
        <w:t>Le lendemain, s’est alors imposée l’idée d’utiliser un engin de chantier</w:t>
      </w:r>
      <w:r w:rsidR="008A3BFE">
        <w:rPr>
          <w:rFonts w:ascii="Times New Roman" w:hAnsi="Times New Roman"/>
        </w:rPr>
        <w:t>,</w:t>
      </w:r>
      <w:r w:rsidR="008A3BFE" w:rsidRPr="008A42A7">
        <w:rPr>
          <w:rFonts w:ascii="Times New Roman" w:hAnsi="Times New Roman"/>
        </w:rPr>
        <w:t xml:space="preserve"> présent sur place en raison de travaux sur la route voisine. </w:t>
      </w:r>
    </w:p>
    <w:p w14:paraId="563AAA03" w14:textId="2FC4B152" w:rsidR="002A3CFA" w:rsidRDefault="008A3BFE" w:rsidP="00EF4ACC">
      <w:pPr>
        <w:ind w:left="2832"/>
        <w:jc w:val="both"/>
        <w:rPr>
          <w:rFonts w:ascii="Times New Roman" w:hAnsi="Times New Roman"/>
        </w:rPr>
      </w:pPr>
      <w:r w:rsidRPr="008A42A7">
        <w:rPr>
          <w:rFonts w:ascii="Times New Roman" w:hAnsi="Times New Roman"/>
        </w:rPr>
        <w:t>Et c’est le vicaire de la paroisse, Athanase Seromba</w:t>
      </w:r>
      <w:r w:rsidRPr="008A42A7">
        <w:rPr>
          <w:rStyle w:val="Marquenotebasdepage"/>
          <w:rFonts w:ascii="Times New Roman" w:hAnsi="Times New Roman"/>
        </w:rPr>
        <w:footnoteReference w:id="6"/>
      </w:r>
      <w:r w:rsidRPr="008A42A7">
        <w:rPr>
          <w:rFonts w:ascii="Times New Roman" w:hAnsi="Times New Roman"/>
        </w:rPr>
        <w:t xml:space="preserve">, qui a levé les scrupules du chauffeur du véhicule, en </w:t>
      </w:r>
      <w:r>
        <w:rPr>
          <w:rFonts w:ascii="Times New Roman" w:hAnsi="Times New Roman"/>
        </w:rPr>
        <w:t xml:space="preserve">lui </w:t>
      </w:r>
      <w:r w:rsidRPr="008A42A7">
        <w:rPr>
          <w:rFonts w:ascii="Times New Roman" w:hAnsi="Times New Roman"/>
        </w:rPr>
        <w:t xml:space="preserve">confirmant l’ordre donné par le bourgmestre de détruire le bâtiment. </w:t>
      </w:r>
    </w:p>
    <w:p w14:paraId="23990F4E" w14:textId="77777777" w:rsidR="008A3BFE" w:rsidRPr="008A42A7" w:rsidRDefault="008A3BFE" w:rsidP="00EF4ACC">
      <w:pPr>
        <w:ind w:left="2832"/>
        <w:jc w:val="both"/>
        <w:rPr>
          <w:rFonts w:ascii="Times New Roman" w:hAnsi="Times New Roman"/>
        </w:rPr>
      </w:pPr>
      <w:r w:rsidRPr="008A42A7">
        <w:rPr>
          <w:rFonts w:ascii="Times New Roman" w:hAnsi="Times New Roman"/>
        </w:rPr>
        <w:t>Celui-ci s’effondre sur les 3000 personnes réfugiées à l’intérieur. Les survivants sont tués dans la cour.</w:t>
      </w:r>
    </w:p>
    <w:p w14:paraId="41ECF17D" w14:textId="77777777" w:rsidR="008A3BFE" w:rsidRPr="008A42A7" w:rsidRDefault="008A3BFE" w:rsidP="00EB04B6">
      <w:pPr>
        <w:jc w:val="both"/>
        <w:rPr>
          <w:rFonts w:ascii="Times New Roman" w:hAnsi="Times New Roman"/>
        </w:rPr>
      </w:pPr>
      <w:r>
        <w:rPr>
          <w:rFonts w:ascii="Times New Roman" w:hAnsi="Times New Roman"/>
        </w:rPr>
        <w:tab/>
      </w:r>
      <w:r w:rsidR="00EF4ACC">
        <w:rPr>
          <w:rFonts w:ascii="Times New Roman" w:hAnsi="Times New Roman"/>
        </w:rPr>
        <w:tab/>
      </w:r>
      <w:r w:rsidR="00EF4ACC">
        <w:rPr>
          <w:rFonts w:ascii="Times New Roman" w:hAnsi="Times New Roman"/>
        </w:rPr>
        <w:tab/>
      </w:r>
      <w:r w:rsidR="00EF4ACC">
        <w:rPr>
          <w:rFonts w:ascii="Times New Roman" w:hAnsi="Times New Roman"/>
        </w:rPr>
        <w:tab/>
      </w:r>
    </w:p>
    <w:p w14:paraId="39F90D32" w14:textId="40A28369" w:rsidR="00EF4ACC" w:rsidRDefault="00EF4ACC" w:rsidP="00EF4ACC">
      <w:pPr>
        <w:jc w:val="both"/>
        <w:rPr>
          <w:rFonts w:ascii="Times New Roman" w:hAnsi="Times New Roman"/>
        </w:rPr>
      </w:pPr>
      <w:r>
        <w:rPr>
          <w:rFonts w:ascii="Times New Roman" w:hAnsi="Times New Roman"/>
        </w:rPr>
        <w:t>-</w:t>
      </w:r>
      <w:r w:rsidR="006614EE">
        <w:rPr>
          <w:rFonts w:ascii="Times New Roman" w:hAnsi="Times New Roman"/>
        </w:rPr>
        <w:t>Dans ce pays profondément chrétien, et massivement catholique en 1994, l</w:t>
      </w:r>
      <w:r w:rsidR="008A3BFE" w:rsidRPr="008A42A7">
        <w:rPr>
          <w:rFonts w:ascii="Times New Roman" w:hAnsi="Times New Roman"/>
        </w:rPr>
        <w:t xml:space="preserve">es lieux sacrés l’étaient-ils encore pour les bourreaux ? Leurs actes révèlent-ils une </w:t>
      </w:r>
      <w:r w:rsidR="008A3BFE" w:rsidRPr="006614EE">
        <w:rPr>
          <w:rFonts w:ascii="Times New Roman" w:hAnsi="Times New Roman"/>
          <w:i/>
        </w:rPr>
        <w:t>intention</w:t>
      </w:r>
      <w:r w:rsidR="008A3BFE" w:rsidRPr="008A42A7">
        <w:rPr>
          <w:rFonts w:ascii="Times New Roman" w:hAnsi="Times New Roman"/>
        </w:rPr>
        <w:t xml:space="preserve"> quelconque sur le plan religieux ? </w:t>
      </w:r>
    </w:p>
    <w:p w14:paraId="227C0744" w14:textId="77777777" w:rsidR="00EF4ACC" w:rsidRDefault="00EF4ACC" w:rsidP="00EF4ACC">
      <w:pPr>
        <w:jc w:val="both"/>
        <w:rPr>
          <w:rFonts w:ascii="Times New Roman" w:hAnsi="Times New Roman"/>
        </w:rPr>
      </w:pPr>
    </w:p>
    <w:p w14:paraId="0B2F75DA" w14:textId="77777777" w:rsidR="00EF4ACC" w:rsidRDefault="00EF4ACC" w:rsidP="00EF4ACC">
      <w:pPr>
        <w:ind w:left="1416"/>
        <w:jc w:val="both"/>
        <w:rPr>
          <w:rFonts w:ascii="Times New Roman" w:hAnsi="Times New Roman"/>
        </w:rPr>
      </w:pPr>
      <w:r>
        <w:rPr>
          <w:rFonts w:ascii="Times New Roman" w:hAnsi="Times New Roman"/>
        </w:rPr>
        <w:t>-</w:t>
      </w:r>
      <w:r w:rsidR="008A3BFE" w:rsidRPr="008A42A7">
        <w:rPr>
          <w:rFonts w:ascii="Times New Roman" w:hAnsi="Times New Roman"/>
        </w:rPr>
        <w:t xml:space="preserve">Pour ma part, je crois que ce qui s’est passé dans la sphère du religieux doit s’expliquer par lui. </w:t>
      </w:r>
    </w:p>
    <w:p w14:paraId="36C8DDE0" w14:textId="77777777" w:rsidR="00EF4ACC" w:rsidRDefault="00EF4ACC" w:rsidP="00EF4ACC">
      <w:pPr>
        <w:ind w:left="1416"/>
        <w:jc w:val="both"/>
        <w:rPr>
          <w:rFonts w:ascii="Times New Roman" w:hAnsi="Times New Roman"/>
        </w:rPr>
      </w:pPr>
    </w:p>
    <w:p w14:paraId="52F49E42" w14:textId="77777777" w:rsidR="00EF4ACC" w:rsidRDefault="00EF4ACC" w:rsidP="00EF4ACC">
      <w:pPr>
        <w:ind w:left="2124"/>
        <w:jc w:val="both"/>
        <w:rPr>
          <w:rFonts w:ascii="Times New Roman" w:hAnsi="Times New Roman"/>
        </w:rPr>
      </w:pPr>
      <w:r>
        <w:rPr>
          <w:rFonts w:ascii="Times New Roman" w:hAnsi="Times New Roman"/>
        </w:rPr>
        <w:t>*</w:t>
      </w:r>
      <w:r w:rsidR="008A3BFE" w:rsidRPr="008A42A7">
        <w:rPr>
          <w:rFonts w:ascii="Times New Roman" w:hAnsi="Times New Roman"/>
        </w:rPr>
        <w:t xml:space="preserve">Le massacre dans un lieu consacré et visant en outre les objets sacrés qui y sont </w:t>
      </w:r>
      <w:r w:rsidR="008A3BFE">
        <w:rPr>
          <w:rFonts w:ascii="Times New Roman" w:hAnsi="Times New Roman"/>
        </w:rPr>
        <w:t>contenus</w:t>
      </w:r>
      <w:r w:rsidR="008A3BFE" w:rsidRPr="008A42A7">
        <w:rPr>
          <w:rFonts w:ascii="Times New Roman" w:hAnsi="Times New Roman"/>
        </w:rPr>
        <w:t xml:space="preserve"> ne peut pas ne pas avoir un sens </w:t>
      </w:r>
      <w:r w:rsidR="008A3BFE">
        <w:rPr>
          <w:rFonts w:ascii="Times New Roman" w:hAnsi="Times New Roman"/>
        </w:rPr>
        <w:t>principalement ou également religieux, n</w:t>
      </w:r>
      <w:r w:rsidR="008A3BFE" w:rsidRPr="008A42A7">
        <w:rPr>
          <w:rFonts w:ascii="Times New Roman" w:hAnsi="Times New Roman"/>
        </w:rPr>
        <w:t xml:space="preserve">e fût ce que par inversion : la profanation du sacré est nécessairement et également sacrale. </w:t>
      </w:r>
    </w:p>
    <w:p w14:paraId="0D68398C" w14:textId="77777777" w:rsidR="00EF4ACC" w:rsidRDefault="00EF4ACC" w:rsidP="00EF4ACC">
      <w:pPr>
        <w:ind w:left="2124"/>
        <w:jc w:val="both"/>
        <w:rPr>
          <w:rFonts w:ascii="Times New Roman" w:hAnsi="Times New Roman"/>
        </w:rPr>
      </w:pPr>
    </w:p>
    <w:p w14:paraId="72747517" w14:textId="77777777" w:rsidR="00EF4ACC" w:rsidRDefault="00EF4ACC" w:rsidP="002A3CFA">
      <w:pPr>
        <w:ind w:left="2124"/>
        <w:jc w:val="both"/>
        <w:rPr>
          <w:rFonts w:ascii="Times New Roman" w:hAnsi="Times New Roman"/>
        </w:rPr>
      </w:pPr>
      <w:r>
        <w:rPr>
          <w:rFonts w:ascii="Times New Roman" w:hAnsi="Times New Roman"/>
        </w:rPr>
        <w:t>*</w:t>
      </w:r>
      <w:r w:rsidR="008A3BFE" w:rsidRPr="008A42A7">
        <w:rPr>
          <w:rFonts w:ascii="Times New Roman" w:hAnsi="Times New Roman"/>
        </w:rPr>
        <w:t>Comme les massacreurs de Denis Crouzet</w:t>
      </w:r>
      <w:r w:rsidR="008A3BFE" w:rsidRPr="008A42A7">
        <w:rPr>
          <w:rStyle w:val="Marquenotebasdepage"/>
          <w:rFonts w:ascii="Times New Roman" w:hAnsi="Times New Roman"/>
        </w:rPr>
        <w:footnoteReference w:id="7"/>
      </w:r>
      <w:r w:rsidR="008A3BFE">
        <w:rPr>
          <w:rFonts w:ascii="Times New Roman" w:hAnsi="Times New Roman"/>
        </w:rPr>
        <w:t xml:space="preserve"> – le grand historien</w:t>
      </w:r>
      <w:r w:rsidR="008A3BFE" w:rsidRPr="008A42A7">
        <w:rPr>
          <w:rFonts w:ascii="Times New Roman" w:hAnsi="Times New Roman"/>
        </w:rPr>
        <w:t xml:space="preserve"> des troubles de religion</w:t>
      </w:r>
      <w:r w:rsidR="008A3BFE">
        <w:rPr>
          <w:rFonts w:ascii="Times New Roman" w:hAnsi="Times New Roman"/>
        </w:rPr>
        <w:t xml:space="preserve"> du XVI</w:t>
      </w:r>
      <w:r w:rsidR="008A3BFE" w:rsidRPr="00126589">
        <w:rPr>
          <w:rFonts w:ascii="Times New Roman" w:hAnsi="Times New Roman"/>
          <w:vertAlign w:val="superscript"/>
        </w:rPr>
        <w:t>ème</w:t>
      </w:r>
      <w:r w:rsidR="008A3BFE">
        <w:rPr>
          <w:rFonts w:ascii="Times New Roman" w:hAnsi="Times New Roman"/>
        </w:rPr>
        <w:t xml:space="preserve"> siècle –</w:t>
      </w:r>
      <w:r>
        <w:rPr>
          <w:rFonts w:ascii="Times New Roman" w:hAnsi="Times New Roman"/>
        </w:rPr>
        <w:t xml:space="preserve"> </w:t>
      </w:r>
      <w:r w:rsidR="008A3BFE" w:rsidRPr="008A42A7">
        <w:rPr>
          <w:rFonts w:ascii="Times New Roman" w:hAnsi="Times New Roman"/>
        </w:rPr>
        <w:t xml:space="preserve">les tueurs de 1994 étaient des </w:t>
      </w:r>
      <w:r w:rsidR="008A3BFE" w:rsidRPr="008A42A7">
        <w:rPr>
          <w:rFonts w:ascii="Times New Roman" w:hAnsi="Times New Roman"/>
          <w:i/>
        </w:rPr>
        <w:t>croyants</w:t>
      </w:r>
      <w:r w:rsidR="008A3BFE" w:rsidRPr="008A42A7">
        <w:rPr>
          <w:rFonts w:ascii="Times New Roman" w:hAnsi="Times New Roman"/>
        </w:rPr>
        <w:t xml:space="preserve"> et rien ne permet de dire qu’ils ne le sont pas </w:t>
      </w:r>
      <w:r w:rsidR="008A3BFE" w:rsidRPr="002A3CFA">
        <w:rPr>
          <w:rFonts w:ascii="Times New Roman" w:hAnsi="Times New Roman"/>
          <w:i/>
        </w:rPr>
        <w:t>restés</w:t>
      </w:r>
      <w:r w:rsidR="008A3BFE" w:rsidRPr="008A42A7">
        <w:rPr>
          <w:rFonts w:ascii="Times New Roman" w:hAnsi="Times New Roman"/>
        </w:rPr>
        <w:t xml:space="preserve"> pendant le meurtre de masse. </w:t>
      </w:r>
    </w:p>
    <w:p w14:paraId="78BCED43" w14:textId="77777777" w:rsidR="00EF4ACC" w:rsidRDefault="00EF4ACC" w:rsidP="00EF4ACC">
      <w:pPr>
        <w:ind w:left="3540"/>
        <w:jc w:val="both"/>
        <w:rPr>
          <w:rFonts w:ascii="Times New Roman" w:hAnsi="Times New Roman"/>
        </w:rPr>
      </w:pPr>
    </w:p>
    <w:p w14:paraId="02E71190" w14:textId="77777777" w:rsidR="00EF4ACC" w:rsidRDefault="00EF4ACC" w:rsidP="00EF4ACC">
      <w:pPr>
        <w:ind w:left="3540"/>
        <w:jc w:val="both"/>
        <w:rPr>
          <w:rFonts w:ascii="Times New Roman" w:hAnsi="Times New Roman"/>
        </w:rPr>
      </w:pPr>
      <w:r>
        <w:rPr>
          <w:rFonts w:ascii="Times New Roman" w:hAnsi="Times New Roman"/>
        </w:rPr>
        <w:t>-</w:t>
      </w:r>
      <w:r w:rsidR="008A3BFE" w:rsidRPr="008A42A7">
        <w:rPr>
          <w:rFonts w:ascii="Times New Roman" w:hAnsi="Times New Roman"/>
        </w:rPr>
        <w:t xml:space="preserve">Mais ici, une difficulté se présente, immense, </w:t>
      </w:r>
      <w:r w:rsidR="008A3BFE">
        <w:rPr>
          <w:rFonts w:ascii="Times New Roman" w:hAnsi="Times New Roman"/>
        </w:rPr>
        <w:t>qui</w:t>
      </w:r>
      <w:r w:rsidR="008A3BFE" w:rsidRPr="008A42A7">
        <w:rPr>
          <w:rFonts w:ascii="Times New Roman" w:hAnsi="Times New Roman"/>
        </w:rPr>
        <w:t xml:space="preserve"> </w:t>
      </w:r>
      <w:r w:rsidR="008A3BFE">
        <w:rPr>
          <w:rFonts w:ascii="Times New Roman" w:hAnsi="Times New Roman"/>
        </w:rPr>
        <w:t>justifie</w:t>
      </w:r>
      <w:r w:rsidR="008A3BFE" w:rsidRPr="008A42A7">
        <w:rPr>
          <w:rFonts w:ascii="Times New Roman" w:hAnsi="Times New Roman"/>
        </w:rPr>
        <w:t xml:space="preserve"> de parler </w:t>
      </w:r>
      <w:r w:rsidR="008A3BFE">
        <w:rPr>
          <w:rFonts w:ascii="Times New Roman" w:hAnsi="Times New Roman"/>
        </w:rPr>
        <w:t xml:space="preserve">d’un cas absolument unique, </w:t>
      </w:r>
      <w:r w:rsidR="008A3BFE" w:rsidRPr="008A42A7">
        <w:rPr>
          <w:rFonts w:ascii="Times New Roman" w:hAnsi="Times New Roman"/>
        </w:rPr>
        <w:t>d’</w:t>
      </w:r>
      <w:r w:rsidR="008A3BFE">
        <w:rPr>
          <w:rFonts w:ascii="Times New Roman" w:hAnsi="Times New Roman"/>
        </w:rPr>
        <w:t xml:space="preserve">un </w:t>
      </w:r>
      <w:r w:rsidR="008A3BFE" w:rsidRPr="002A3CFA">
        <w:rPr>
          <w:rFonts w:ascii="Times New Roman" w:hAnsi="Times New Roman"/>
          <w:i/>
        </w:rPr>
        <w:t>hapax </w:t>
      </w:r>
      <w:r w:rsidR="008A3BFE" w:rsidRPr="008A42A7">
        <w:rPr>
          <w:rFonts w:ascii="Times New Roman" w:hAnsi="Times New Roman"/>
        </w:rPr>
        <w:t xml:space="preserve">: la violence n’a pas été </w:t>
      </w:r>
      <w:r w:rsidR="008A3BFE" w:rsidRPr="008A42A7">
        <w:rPr>
          <w:rFonts w:ascii="Times New Roman" w:hAnsi="Times New Roman"/>
          <w:i/>
        </w:rPr>
        <w:t>inter</w:t>
      </w:r>
      <w:r w:rsidR="008A3BFE" w:rsidRPr="008A42A7">
        <w:rPr>
          <w:rFonts w:ascii="Times New Roman" w:hAnsi="Times New Roman"/>
        </w:rPr>
        <w:t xml:space="preserve"> mais </w:t>
      </w:r>
      <w:r w:rsidR="008A3BFE" w:rsidRPr="008A42A7">
        <w:rPr>
          <w:rFonts w:ascii="Times New Roman" w:hAnsi="Times New Roman"/>
          <w:i/>
        </w:rPr>
        <w:t>intra</w:t>
      </w:r>
      <w:r w:rsidR="008A3BFE" w:rsidRPr="008A42A7">
        <w:rPr>
          <w:rFonts w:ascii="Times New Roman" w:hAnsi="Times New Roman"/>
        </w:rPr>
        <w:t xml:space="preserve"> religieuse</w:t>
      </w:r>
      <w:r w:rsidR="008A3BFE">
        <w:rPr>
          <w:rFonts w:ascii="Times New Roman" w:hAnsi="Times New Roman"/>
        </w:rPr>
        <w:t> ; d</w:t>
      </w:r>
      <w:r w:rsidR="008A3BFE" w:rsidRPr="008A42A7">
        <w:rPr>
          <w:rFonts w:ascii="Times New Roman" w:hAnsi="Times New Roman"/>
        </w:rPr>
        <w:t>es catholiques ont massacré d’autres catholiques</w:t>
      </w:r>
      <w:r w:rsidR="002A3CFA">
        <w:rPr>
          <w:rFonts w:ascii="Times New Roman" w:hAnsi="Times New Roman"/>
        </w:rPr>
        <w:t xml:space="preserve"> (co-paroissiens)</w:t>
      </w:r>
      <w:r w:rsidR="008A3BFE" w:rsidRPr="008A42A7">
        <w:rPr>
          <w:rFonts w:ascii="Times New Roman" w:hAnsi="Times New Roman"/>
        </w:rPr>
        <w:t xml:space="preserve">, dans leurs paroisses, avec des prêtres des deux côtés. </w:t>
      </w:r>
    </w:p>
    <w:p w14:paraId="75997C47" w14:textId="77777777" w:rsidR="00EF4ACC" w:rsidRDefault="00EF4ACC" w:rsidP="00EF4ACC">
      <w:pPr>
        <w:ind w:left="3540"/>
        <w:jc w:val="both"/>
        <w:rPr>
          <w:rFonts w:ascii="Times New Roman" w:hAnsi="Times New Roman"/>
        </w:rPr>
      </w:pPr>
    </w:p>
    <w:p w14:paraId="1C41AE20" w14:textId="6E52F9C0" w:rsidR="008A3BFE" w:rsidRPr="008A42A7" w:rsidRDefault="00EF4ACC" w:rsidP="00EF4ACC">
      <w:pPr>
        <w:ind w:left="4248"/>
        <w:jc w:val="both"/>
        <w:rPr>
          <w:rFonts w:ascii="Times New Roman" w:hAnsi="Times New Roman"/>
        </w:rPr>
      </w:pPr>
      <w:r>
        <w:rPr>
          <w:rFonts w:ascii="Times New Roman" w:hAnsi="Times New Roman"/>
        </w:rPr>
        <w:t>*</w:t>
      </w:r>
      <w:r w:rsidR="00A2362F">
        <w:rPr>
          <w:rFonts w:ascii="Times New Roman" w:hAnsi="Times New Roman"/>
        </w:rPr>
        <w:t>Et donc, l</w:t>
      </w:r>
      <w:r w:rsidR="008A3BFE" w:rsidRPr="008A42A7">
        <w:rPr>
          <w:rFonts w:ascii="Times New Roman" w:hAnsi="Times New Roman"/>
        </w:rPr>
        <w:t xml:space="preserve">e génocide de 1994, unique sur ce point comme sur d’autres, </w:t>
      </w:r>
      <w:r w:rsidR="008A3BFE">
        <w:rPr>
          <w:rFonts w:ascii="Times New Roman" w:hAnsi="Times New Roman"/>
        </w:rPr>
        <w:t>est ainsi privé</w:t>
      </w:r>
      <w:r w:rsidR="008A3BFE" w:rsidRPr="008A42A7">
        <w:rPr>
          <w:rFonts w:ascii="Times New Roman" w:hAnsi="Times New Roman"/>
        </w:rPr>
        <w:t xml:space="preserve"> </w:t>
      </w:r>
      <w:r w:rsidR="008A3BFE">
        <w:rPr>
          <w:rFonts w:ascii="Times New Roman" w:hAnsi="Times New Roman"/>
        </w:rPr>
        <w:t xml:space="preserve">en ce domaine </w:t>
      </w:r>
      <w:r w:rsidR="008A3BFE" w:rsidRPr="008A42A7">
        <w:rPr>
          <w:rFonts w:ascii="Times New Roman" w:hAnsi="Times New Roman"/>
        </w:rPr>
        <w:t>de toute comparaison possible.</w:t>
      </w:r>
    </w:p>
    <w:p w14:paraId="0943BD12" w14:textId="77777777" w:rsidR="00EF4ACC" w:rsidRDefault="00EF4ACC" w:rsidP="00EF4ACC">
      <w:pPr>
        <w:jc w:val="both"/>
        <w:rPr>
          <w:rFonts w:ascii="Times New Roman" w:hAnsi="Times New Roman"/>
        </w:rPr>
      </w:pPr>
    </w:p>
    <w:p w14:paraId="06B92379" w14:textId="77777777" w:rsidR="00EF4ACC" w:rsidRDefault="00EF4ACC" w:rsidP="00EF4ACC">
      <w:pPr>
        <w:jc w:val="both"/>
        <w:rPr>
          <w:rFonts w:ascii="Times New Roman" w:hAnsi="Times New Roman"/>
        </w:rPr>
      </w:pPr>
      <w:r>
        <w:rPr>
          <w:rFonts w:ascii="Times New Roman" w:hAnsi="Times New Roman"/>
        </w:rPr>
        <w:t>-</w:t>
      </w:r>
      <w:r w:rsidR="008A3BFE">
        <w:rPr>
          <w:rFonts w:ascii="Times New Roman" w:hAnsi="Times New Roman"/>
        </w:rPr>
        <w:t>En tout état de cause</w:t>
      </w:r>
      <w:r w:rsidR="008A3BFE" w:rsidRPr="008A42A7">
        <w:rPr>
          <w:rFonts w:ascii="Times New Roman" w:hAnsi="Times New Roman"/>
        </w:rPr>
        <w:t xml:space="preserve">, entre le 7 et le 16 avril, c’est toujours </w:t>
      </w:r>
      <w:r w:rsidR="008A3BFE" w:rsidRPr="008A42A7">
        <w:rPr>
          <w:rFonts w:ascii="Times New Roman" w:hAnsi="Times New Roman"/>
          <w:i/>
        </w:rPr>
        <w:t>en tant que prêtre</w:t>
      </w:r>
      <w:r w:rsidR="008A3BFE" w:rsidRPr="008A42A7">
        <w:rPr>
          <w:rFonts w:ascii="Times New Roman" w:hAnsi="Times New Roman"/>
        </w:rPr>
        <w:t xml:space="preserve"> qu’Athanase Seromba </w:t>
      </w:r>
      <w:r w:rsidR="008A3BFE">
        <w:rPr>
          <w:rFonts w:ascii="Times New Roman" w:hAnsi="Times New Roman"/>
        </w:rPr>
        <w:t>a agi à Nya</w:t>
      </w:r>
      <w:r w:rsidR="008A3BFE" w:rsidRPr="008A42A7">
        <w:rPr>
          <w:rFonts w:ascii="Times New Roman" w:hAnsi="Times New Roman"/>
        </w:rPr>
        <w:t xml:space="preserve">nge. </w:t>
      </w:r>
    </w:p>
    <w:p w14:paraId="07929AD3" w14:textId="77777777" w:rsidR="00EF4ACC" w:rsidRDefault="00EF4ACC" w:rsidP="00EF4ACC">
      <w:pPr>
        <w:jc w:val="both"/>
        <w:rPr>
          <w:rFonts w:ascii="Times New Roman" w:hAnsi="Times New Roman"/>
        </w:rPr>
      </w:pPr>
    </w:p>
    <w:p w14:paraId="3D85CB12" w14:textId="77777777" w:rsidR="00CC4812" w:rsidRDefault="00CC4812" w:rsidP="00D3779F">
      <w:pPr>
        <w:ind w:left="1416"/>
        <w:jc w:val="both"/>
        <w:rPr>
          <w:rFonts w:ascii="Times New Roman" w:hAnsi="Times New Roman"/>
        </w:rPr>
      </w:pPr>
      <w:r>
        <w:rPr>
          <w:rFonts w:ascii="Times New Roman" w:hAnsi="Times New Roman"/>
        </w:rPr>
        <w:t>*</w:t>
      </w:r>
      <w:r w:rsidR="008A3BFE" w:rsidRPr="008A42A7">
        <w:rPr>
          <w:rFonts w:ascii="Times New Roman" w:hAnsi="Times New Roman"/>
        </w:rPr>
        <w:t xml:space="preserve">Et c’est </w:t>
      </w:r>
      <w:r w:rsidR="008A3BFE" w:rsidRPr="008A42A7">
        <w:rPr>
          <w:rFonts w:ascii="Times New Roman" w:hAnsi="Times New Roman"/>
          <w:i/>
        </w:rPr>
        <w:t>comme prêtre</w:t>
      </w:r>
      <w:r w:rsidR="008A3BFE" w:rsidRPr="008A42A7">
        <w:rPr>
          <w:rFonts w:ascii="Times New Roman" w:hAnsi="Times New Roman"/>
        </w:rPr>
        <w:t xml:space="preserve"> qu’il a donné l’ordre au chauffeur du bulldozer de détruire le bâtiment, arguant que des démons</w:t>
      </w:r>
      <w:r w:rsidR="008A3BFE">
        <w:rPr>
          <w:rFonts w:ascii="Times New Roman" w:hAnsi="Times New Roman"/>
        </w:rPr>
        <w:t xml:space="preserve"> occupaient la maison de Dieu avant d’ajouter</w:t>
      </w:r>
      <w:r w:rsidR="008A3BFE" w:rsidRPr="008A42A7">
        <w:rPr>
          <w:rFonts w:ascii="Times New Roman" w:hAnsi="Times New Roman"/>
        </w:rPr>
        <w:t xml:space="preserve"> : « Détruisez l’église. Les Hutu sont assez nombreux pour en construire une autre. » </w:t>
      </w:r>
    </w:p>
    <w:p w14:paraId="004427ED" w14:textId="77777777" w:rsidR="00A2362F" w:rsidRDefault="00A2362F" w:rsidP="00D3779F">
      <w:pPr>
        <w:ind w:left="1416"/>
        <w:jc w:val="both"/>
        <w:rPr>
          <w:rFonts w:ascii="Times New Roman" w:hAnsi="Times New Roman"/>
        </w:rPr>
      </w:pPr>
    </w:p>
    <w:p w14:paraId="50CC3499" w14:textId="77777777" w:rsidR="008A3BFE" w:rsidRPr="008A42A7" w:rsidRDefault="00CC4812" w:rsidP="00D3779F">
      <w:pPr>
        <w:ind w:left="1416"/>
        <w:jc w:val="both"/>
        <w:rPr>
          <w:rFonts w:ascii="Times New Roman" w:hAnsi="Times New Roman"/>
        </w:rPr>
      </w:pPr>
      <w:r>
        <w:rPr>
          <w:rFonts w:ascii="Times New Roman" w:hAnsi="Times New Roman"/>
        </w:rPr>
        <w:t>*</w:t>
      </w:r>
      <w:r w:rsidR="008A3BFE" w:rsidRPr="008A42A7">
        <w:rPr>
          <w:rFonts w:ascii="Times New Roman" w:hAnsi="Times New Roman"/>
        </w:rPr>
        <w:t xml:space="preserve">Plus tard, au TPIR, c’est </w:t>
      </w:r>
      <w:r w:rsidR="008A3BFE" w:rsidRPr="002A3CFA">
        <w:rPr>
          <w:rFonts w:ascii="Times New Roman" w:hAnsi="Times New Roman"/>
          <w:i/>
        </w:rPr>
        <w:t>en habit ecclésiastique</w:t>
      </w:r>
      <w:r w:rsidR="002A3CFA">
        <w:rPr>
          <w:rFonts w:ascii="Times New Roman" w:hAnsi="Times New Roman"/>
        </w:rPr>
        <w:t xml:space="preserve"> qu’il tiendra à comparaître (d’où la circonstance aggravante !)</w:t>
      </w:r>
    </w:p>
    <w:p w14:paraId="450AC13A" w14:textId="77777777" w:rsidR="00CC4812" w:rsidRDefault="00CC4812" w:rsidP="00CC4812">
      <w:pPr>
        <w:jc w:val="both"/>
        <w:rPr>
          <w:rFonts w:ascii="Times New Roman" w:hAnsi="Times New Roman"/>
        </w:rPr>
      </w:pPr>
    </w:p>
    <w:p w14:paraId="48A39A46" w14:textId="77777777" w:rsidR="00CC4812" w:rsidRDefault="00CC4812" w:rsidP="00CC4812">
      <w:pPr>
        <w:jc w:val="both"/>
        <w:rPr>
          <w:rFonts w:ascii="Times New Roman" w:hAnsi="Times New Roman"/>
        </w:rPr>
      </w:pPr>
      <w:r>
        <w:rPr>
          <w:rFonts w:ascii="Times New Roman" w:hAnsi="Times New Roman"/>
        </w:rPr>
        <w:t>-</w:t>
      </w:r>
      <w:r w:rsidR="008A3BFE" w:rsidRPr="008A42A7">
        <w:rPr>
          <w:rFonts w:ascii="Times New Roman" w:hAnsi="Times New Roman"/>
        </w:rPr>
        <w:t>Quant aux tueurs de Nyange, très nombreux (des milliers</w:t>
      </w:r>
      <w:r w:rsidR="008A3BFE">
        <w:rPr>
          <w:rFonts w:ascii="Times New Roman" w:hAnsi="Times New Roman"/>
        </w:rPr>
        <w:t>, semble-t-il</w:t>
      </w:r>
      <w:r w:rsidR="008A3BFE" w:rsidRPr="008A42A7">
        <w:rPr>
          <w:rFonts w:ascii="Times New Roman" w:hAnsi="Times New Roman"/>
        </w:rPr>
        <w:t xml:space="preserve">), </w:t>
      </w:r>
      <w:r>
        <w:rPr>
          <w:rFonts w:ascii="Times New Roman" w:hAnsi="Times New Roman"/>
        </w:rPr>
        <w:t>ils semblent bien avoir</w:t>
      </w:r>
      <w:r w:rsidR="008A3BFE" w:rsidRPr="008A42A7">
        <w:rPr>
          <w:rFonts w:ascii="Times New Roman" w:hAnsi="Times New Roman"/>
        </w:rPr>
        <w:t xml:space="preserve"> agi en </w:t>
      </w:r>
      <w:r w:rsidR="008A3BFE" w:rsidRPr="008A42A7">
        <w:rPr>
          <w:rFonts w:ascii="Times New Roman" w:hAnsi="Times New Roman"/>
          <w:i/>
        </w:rPr>
        <w:t>croyants</w:t>
      </w:r>
      <w:r>
        <w:rPr>
          <w:rFonts w:ascii="Times New Roman" w:hAnsi="Times New Roman"/>
        </w:rPr>
        <w:t xml:space="preserve"> eux aussi :</w:t>
      </w:r>
      <w:r w:rsidR="008A3BFE">
        <w:rPr>
          <w:rFonts w:ascii="Times New Roman" w:hAnsi="Times New Roman"/>
        </w:rPr>
        <w:t xml:space="preserve"> ils</w:t>
      </w:r>
      <w:r w:rsidR="008A3BFE" w:rsidRPr="008A42A7">
        <w:rPr>
          <w:rFonts w:ascii="Times New Roman" w:hAnsi="Times New Roman"/>
        </w:rPr>
        <w:t xml:space="preserve"> se sont </w:t>
      </w:r>
      <w:r w:rsidR="002A3CFA">
        <w:rPr>
          <w:rFonts w:ascii="Times New Roman" w:hAnsi="Times New Roman"/>
        </w:rPr>
        <w:t xml:space="preserve">ainsi </w:t>
      </w:r>
      <w:r w:rsidR="008A3BFE" w:rsidRPr="008A42A7">
        <w:rPr>
          <w:rFonts w:ascii="Times New Roman" w:hAnsi="Times New Roman"/>
        </w:rPr>
        <w:t>regroupés autour d’une statue de la Vierge juste avant l</w:t>
      </w:r>
      <w:r>
        <w:rPr>
          <w:rFonts w:ascii="Times New Roman" w:hAnsi="Times New Roman"/>
        </w:rPr>
        <w:t>a première attaque du 15 avril !</w:t>
      </w:r>
      <w:r w:rsidR="008A3BFE" w:rsidRPr="008A42A7">
        <w:rPr>
          <w:rFonts w:ascii="Times New Roman" w:hAnsi="Times New Roman"/>
        </w:rPr>
        <w:t xml:space="preserve"> </w:t>
      </w:r>
    </w:p>
    <w:p w14:paraId="47623EDB" w14:textId="77777777" w:rsidR="00CC4812" w:rsidRDefault="00CC4812" w:rsidP="00CC4812">
      <w:pPr>
        <w:jc w:val="both"/>
        <w:rPr>
          <w:rFonts w:ascii="Times New Roman" w:hAnsi="Times New Roman"/>
        </w:rPr>
      </w:pPr>
    </w:p>
    <w:p w14:paraId="1F121FB8" w14:textId="77777777" w:rsidR="00CC4812" w:rsidRDefault="00CC4812" w:rsidP="00CC4812">
      <w:pPr>
        <w:ind w:left="1416"/>
        <w:jc w:val="both"/>
        <w:rPr>
          <w:rFonts w:ascii="Times New Roman" w:hAnsi="Times New Roman"/>
        </w:rPr>
      </w:pPr>
      <w:r>
        <w:rPr>
          <w:rFonts w:ascii="Times New Roman" w:hAnsi="Times New Roman"/>
        </w:rPr>
        <w:t>-</w:t>
      </w:r>
      <w:r w:rsidR="008A3BFE" w:rsidRPr="008A42A7">
        <w:rPr>
          <w:rFonts w:ascii="Times New Roman" w:hAnsi="Times New Roman"/>
        </w:rPr>
        <w:t xml:space="preserve">Ils ne sont pas les seuls à voir agi ainsi : </w:t>
      </w:r>
      <w:r w:rsidR="008A3BFE">
        <w:rPr>
          <w:rFonts w:ascii="Times New Roman" w:hAnsi="Times New Roman"/>
        </w:rPr>
        <w:t>ailleurs,</w:t>
      </w:r>
      <w:r w:rsidR="008A3BFE" w:rsidRPr="008A42A7">
        <w:rPr>
          <w:rFonts w:ascii="Times New Roman" w:hAnsi="Times New Roman"/>
        </w:rPr>
        <w:t xml:space="preserve"> </w:t>
      </w:r>
      <w:r w:rsidR="008A3BFE">
        <w:rPr>
          <w:rFonts w:ascii="Times New Roman" w:hAnsi="Times New Roman"/>
        </w:rPr>
        <w:t>d’autres tueurs o</w:t>
      </w:r>
      <w:r w:rsidR="008A3BFE" w:rsidRPr="008A42A7">
        <w:rPr>
          <w:rFonts w:ascii="Times New Roman" w:hAnsi="Times New Roman"/>
        </w:rPr>
        <w:t xml:space="preserve">nt participé à des messes avant la perpétration </w:t>
      </w:r>
      <w:r w:rsidR="008A3BFE">
        <w:rPr>
          <w:rFonts w:ascii="Times New Roman" w:hAnsi="Times New Roman"/>
        </w:rPr>
        <w:t>de leurs crimes, ou même se so</w:t>
      </w:r>
      <w:r w:rsidR="008A3BFE" w:rsidRPr="008A42A7">
        <w:rPr>
          <w:rFonts w:ascii="Times New Roman" w:hAnsi="Times New Roman"/>
        </w:rPr>
        <w:t>nt arrêtés devant l’autel pour prier</w:t>
      </w:r>
      <w:r w:rsidR="008A3BFE">
        <w:rPr>
          <w:rFonts w:ascii="Times New Roman" w:hAnsi="Times New Roman"/>
        </w:rPr>
        <w:t>,</w:t>
      </w:r>
      <w:r w:rsidR="008A3BFE" w:rsidRPr="008A42A7">
        <w:rPr>
          <w:rFonts w:ascii="Times New Roman" w:hAnsi="Times New Roman"/>
        </w:rPr>
        <w:t xml:space="preserve"> </w:t>
      </w:r>
      <w:r w:rsidR="008A3BFE">
        <w:rPr>
          <w:rFonts w:ascii="Times New Roman" w:hAnsi="Times New Roman"/>
        </w:rPr>
        <w:t>en pleine</w:t>
      </w:r>
      <w:r w:rsidR="008A3BFE" w:rsidRPr="008A42A7">
        <w:rPr>
          <w:rFonts w:ascii="Times New Roman" w:hAnsi="Times New Roman"/>
        </w:rPr>
        <w:t xml:space="preserve"> séquence meurtrière</w:t>
      </w:r>
      <w:r w:rsidR="008A3BFE" w:rsidRPr="008A42A7">
        <w:rPr>
          <w:rStyle w:val="Marquenotebasdepage"/>
          <w:rFonts w:ascii="Times New Roman" w:hAnsi="Times New Roman"/>
        </w:rPr>
        <w:footnoteReference w:id="8"/>
      </w:r>
      <w:r w:rsidR="008A3BFE" w:rsidRPr="008A42A7">
        <w:rPr>
          <w:rFonts w:ascii="Times New Roman" w:hAnsi="Times New Roman"/>
        </w:rPr>
        <w:t xml:space="preserve">. </w:t>
      </w:r>
    </w:p>
    <w:p w14:paraId="15578640" w14:textId="77777777" w:rsidR="008A3BFE" w:rsidRPr="008A42A7" w:rsidRDefault="008A3BFE" w:rsidP="002A3CFA">
      <w:pPr>
        <w:jc w:val="both"/>
        <w:rPr>
          <w:rFonts w:ascii="Times New Roman" w:hAnsi="Times New Roman"/>
        </w:rPr>
      </w:pPr>
    </w:p>
    <w:p w14:paraId="59C605C3" w14:textId="77777777" w:rsidR="00CC4812" w:rsidRDefault="00CC4812" w:rsidP="00CC4812">
      <w:pPr>
        <w:jc w:val="both"/>
        <w:rPr>
          <w:rFonts w:ascii="Times New Roman" w:hAnsi="Times New Roman"/>
        </w:rPr>
      </w:pPr>
      <w:r>
        <w:rPr>
          <w:rFonts w:ascii="Times New Roman" w:hAnsi="Times New Roman"/>
        </w:rPr>
        <w:t>-</w:t>
      </w:r>
      <w:r w:rsidR="008A3BFE" w:rsidRPr="008A42A7">
        <w:rPr>
          <w:rFonts w:ascii="Times New Roman" w:hAnsi="Times New Roman"/>
        </w:rPr>
        <w:t xml:space="preserve">Cette </w:t>
      </w:r>
      <w:r w:rsidR="008A3BFE" w:rsidRPr="00A2362F">
        <w:rPr>
          <w:rFonts w:ascii="Times New Roman" w:hAnsi="Times New Roman"/>
          <w:i/>
        </w:rPr>
        <w:t>présence</w:t>
      </w:r>
      <w:r w:rsidR="008A3BFE" w:rsidRPr="008A42A7">
        <w:rPr>
          <w:rFonts w:ascii="Times New Roman" w:hAnsi="Times New Roman"/>
        </w:rPr>
        <w:t xml:space="preserve"> du religieux</w:t>
      </w:r>
      <w:r w:rsidR="008A3BFE" w:rsidRPr="008A42A7">
        <w:rPr>
          <w:rFonts w:ascii="Times New Roman" w:hAnsi="Times New Roman"/>
          <w:b/>
        </w:rPr>
        <w:t xml:space="preserve"> </w:t>
      </w:r>
      <w:r w:rsidR="008A3BFE" w:rsidRPr="008A42A7">
        <w:rPr>
          <w:rFonts w:ascii="Times New Roman" w:hAnsi="Times New Roman"/>
        </w:rPr>
        <w:t>n’a pas échappé aux chercheurs, co</w:t>
      </w:r>
      <w:r w:rsidR="008A3BFE">
        <w:rPr>
          <w:rFonts w:ascii="Times New Roman" w:hAnsi="Times New Roman"/>
        </w:rPr>
        <w:t>nfrontés à l’évidence d’églises devenues aussi</w:t>
      </w:r>
      <w:r w:rsidR="008A3BFE" w:rsidRPr="008A42A7">
        <w:rPr>
          <w:rFonts w:ascii="Times New Roman" w:hAnsi="Times New Roman"/>
        </w:rPr>
        <w:t xml:space="preserve"> lieux de massacre. </w:t>
      </w:r>
    </w:p>
    <w:p w14:paraId="1CD7F2BE" w14:textId="77777777" w:rsidR="00CC4812" w:rsidRDefault="00CC4812" w:rsidP="00CC4812">
      <w:pPr>
        <w:jc w:val="both"/>
        <w:rPr>
          <w:rFonts w:ascii="Times New Roman" w:hAnsi="Times New Roman"/>
        </w:rPr>
      </w:pPr>
    </w:p>
    <w:p w14:paraId="48C9C54E" w14:textId="62A04550" w:rsidR="00CC4812" w:rsidRDefault="006654DA" w:rsidP="00CC4812">
      <w:pPr>
        <w:ind w:left="1416"/>
        <w:jc w:val="both"/>
        <w:rPr>
          <w:rFonts w:ascii="Times New Roman" w:hAnsi="Times New Roman"/>
        </w:rPr>
      </w:pPr>
      <w:r>
        <w:rPr>
          <w:rFonts w:ascii="Times New Roman" w:hAnsi="Times New Roman"/>
        </w:rPr>
        <w:t>*</w:t>
      </w:r>
      <w:r w:rsidR="00D3779F">
        <w:rPr>
          <w:rFonts w:ascii="Times New Roman" w:hAnsi="Times New Roman"/>
        </w:rPr>
        <w:t>Mais</w:t>
      </w:r>
      <w:r w:rsidR="008A3BFE" w:rsidRPr="008A42A7">
        <w:rPr>
          <w:rFonts w:ascii="Times New Roman" w:hAnsi="Times New Roman"/>
        </w:rPr>
        <w:t xml:space="preserve"> si les sciences sociales disposent d’infiniment d’outils pour étudier les violences </w:t>
      </w:r>
      <w:r w:rsidR="008A3BFE" w:rsidRPr="008A42A7">
        <w:rPr>
          <w:rFonts w:ascii="Times New Roman" w:hAnsi="Times New Roman"/>
          <w:i/>
        </w:rPr>
        <w:t xml:space="preserve">inter </w:t>
      </w:r>
      <w:r w:rsidR="008A3BFE" w:rsidRPr="008A42A7">
        <w:rPr>
          <w:rFonts w:ascii="Times New Roman" w:hAnsi="Times New Roman"/>
        </w:rPr>
        <w:t xml:space="preserve">religieuses, elle n’en disposent d’aucun pour aborder les massacres </w:t>
      </w:r>
      <w:r w:rsidR="008A3BFE" w:rsidRPr="008A42A7">
        <w:rPr>
          <w:rFonts w:ascii="Times New Roman" w:hAnsi="Times New Roman"/>
          <w:i/>
        </w:rPr>
        <w:t xml:space="preserve">intra </w:t>
      </w:r>
      <w:r w:rsidR="008A3BFE">
        <w:rPr>
          <w:rFonts w:ascii="Times New Roman" w:hAnsi="Times New Roman"/>
        </w:rPr>
        <w:t>religieux</w:t>
      </w:r>
      <w:r w:rsidR="008A3BFE" w:rsidRPr="008A42A7">
        <w:rPr>
          <w:rFonts w:ascii="Times New Roman" w:hAnsi="Times New Roman"/>
        </w:rPr>
        <w:t xml:space="preserve"> comme ceux qui se sont produits en 1994. </w:t>
      </w:r>
    </w:p>
    <w:p w14:paraId="7FA31E8B" w14:textId="77777777" w:rsidR="00CC4812" w:rsidRDefault="00CC4812" w:rsidP="00CC4812">
      <w:pPr>
        <w:ind w:left="1416"/>
        <w:jc w:val="both"/>
        <w:rPr>
          <w:rFonts w:ascii="Times New Roman" w:hAnsi="Times New Roman"/>
        </w:rPr>
      </w:pPr>
    </w:p>
    <w:p w14:paraId="2FD7B933" w14:textId="77777777" w:rsidR="00CC4812" w:rsidRDefault="00CC4812" w:rsidP="00CC4812">
      <w:pPr>
        <w:ind w:left="2124"/>
        <w:jc w:val="both"/>
        <w:rPr>
          <w:rFonts w:ascii="Times New Roman" w:hAnsi="Times New Roman"/>
        </w:rPr>
      </w:pPr>
      <w:r>
        <w:rPr>
          <w:rFonts w:ascii="Times New Roman" w:hAnsi="Times New Roman"/>
        </w:rPr>
        <w:t>*</w:t>
      </w:r>
      <w:r w:rsidR="008A3BFE">
        <w:rPr>
          <w:rFonts w:ascii="Times New Roman" w:hAnsi="Times New Roman"/>
        </w:rPr>
        <w:t>Mieux vaut reconnaître en effet que</w:t>
      </w:r>
      <w:r w:rsidR="008A3BFE" w:rsidRPr="008A42A7">
        <w:rPr>
          <w:rFonts w:ascii="Times New Roman" w:hAnsi="Times New Roman"/>
        </w:rPr>
        <w:t xml:space="preserve"> nous n’avons pas d’outils pour comprendre comment des </w:t>
      </w:r>
      <w:r w:rsidR="008A3BFE" w:rsidRPr="008A42A7">
        <w:rPr>
          <w:rFonts w:ascii="Times New Roman" w:hAnsi="Times New Roman"/>
          <w:i/>
        </w:rPr>
        <w:t>croyants</w:t>
      </w:r>
      <w:r w:rsidR="008A3BFE" w:rsidRPr="008A42A7">
        <w:rPr>
          <w:rFonts w:ascii="Times New Roman" w:hAnsi="Times New Roman"/>
        </w:rPr>
        <w:t xml:space="preserve"> – des catholiques surtout – se sont mués en assassins de leurs coreligionnaires et, pour une partie d’entre eux, en assassins de leurs co-paroissiens et de leurs prêtres. </w:t>
      </w:r>
    </w:p>
    <w:p w14:paraId="01E8B95D" w14:textId="77777777" w:rsidR="00CC4812" w:rsidRDefault="00CC4812" w:rsidP="00CC4812">
      <w:pPr>
        <w:ind w:left="2124"/>
        <w:jc w:val="both"/>
        <w:rPr>
          <w:rFonts w:ascii="Times New Roman" w:hAnsi="Times New Roman"/>
        </w:rPr>
      </w:pPr>
    </w:p>
    <w:p w14:paraId="581BE479" w14:textId="77777777" w:rsidR="008A3BFE" w:rsidRPr="008A42A7" w:rsidRDefault="00CC4812" w:rsidP="00CC4812">
      <w:pPr>
        <w:ind w:left="2124"/>
        <w:jc w:val="both"/>
        <w:rPr>
          <w:rFonts w:ascii="Times New Roman" w:hAnsi="Times New Roman"/>
        </w:rPr>
      </w:pPr>
      <w:r>
        <w:rPr>
          <w:rFonts w:ascii="Times New Roman" w:hAnsi="Times New Roman"/>
        </w:rPr>
        <w:t>*</w:t>
      </w:r>
      <w:r w:rsidR="008A3BFE" w:rsidRPr="008A42A7">
        <w:rPr>
          <w:rFonts w:ascii="Times New Roman" w:hAnsi="Times New Roman"/>
        </w:rPr>
        <w:t>Nous avons moins d’outils encore pour comprendre comment des prêtres – des religieuses aussi – ont pu eux-mêmes se compter parmi les tueurs</w:t>
      </w:r>
      <w:r w:rsidR="008A3BFE">
        <w:rPr>
          <w:rFonts w:ascii="Times New Roman" w:hAnsi="Times New Roman"/>
        </w:rPr>
        <w:t>,</w:t>
      </w:r>
      <w:r w:rsidR="008A3BFE" w:rsidRPr="008A42A7">
        <w:rPr>
          <w:rFonts w:ascii="Times New Roman" w:hAnsi="Times New Roman"/>
        </w:rPr>
        <w:t xml:space="preserve"> </w:t>
      </w:r>
      <w:r w:rsidR="008A3BFE">
        <w:rPr>
          <w:rFonts w:ascii="Times New Roman" w:hAnsi="Times New Roman"/>
        </w:rPr>
        <w:t xml:space="preserve">et </w:t>
      </w:r>
      <w:r w:rsidR="008A3BFE" w:rsidRPr="008A42A7">
        <w:rPr>
          <w:rFonts w:ascii="Times New Roman" w:hAnsi="Times New Roman"/>
        </w:rPr>
        <w:t>parmi les plus actifs</w:t>
      </w:r>
      <w:r w:rsidR="008A3BFE">
        <w:rPr>
          <w:rFonts w:ascii="Times New Roman" w:hAnsi="Times New Roman"/>
        </w:rPr>
        <w:t xml:space="preserve"> d’entre eux</w:t>
      </w:r>
      <w:r w:rsidR="008A3BFE" w:rsidRPr="008A42A7">
        <w:rPr>
          <w:rFonts w:ascii="Times New Roman" w:hAnsi="Times New Roman"/>
        </w:rPr>
        <w:t xml:space="preserve"> parfois.</w:t>
      </w:r>
    </w:p>
    <w:p w14:paraId="7C1235FA" w14:textId="77777777" w:rsidR="00CC4812" w:rsidRDefault="00CC4812" w:rsidP="00CC4812">
      <w:pPr>
        <w:jc w:val="both"/>
        <w:rPr>
          <w:rFonts w:ascii="Times New Roman" w:hAnsi="Times New Roman"/>
        </w:rPr>
      </w:pPr>
    </w:p>
    <w:p w14:paraId="61ADA7C3" w14:textId="77777777" w:rsidR="00CC4812" w:rsidRDefault="00CC4812" w:rsidP="00CC4812">
      <w:pPr>
        <w:jc w:val="both"/>
        <w:rPr>
          <w:rFonts w:ascii="Times New Roman" w:hAnsi="Times New Roman"/>
        </w:rPr>
      </w:pPr>
      <w:r>
        <w:rPr>
          <w:rFonts w:ascii="Times New Roman" w:hAnsi="Times New Roman"/>
        </w:rPr>
        <w:t>-</w:t>
      </w:r>
      <w:r w:rsidR="008A3BFE" w:rsidRPr="008A42A7">
        <w:rPr>
          <w:rFonts w:ascii="Times New Roman" w:hAnsi="Times New Roman"/>
        </w:rPr>
        <w:t xml:space="preserve">A minima, il me semble </w:t>
      </w:r>
      <w:r>
        <w:rPr>
          <w:rFonts w:ascii="Times New Roman" w:hAnsi="Times New Roman"/>
        </w:rPr>
        <w:t xml:space="preserve">en tout cas possible de dire </w:t>
      </w:r>
      <w:r w:rsidR="008A3BFE" w:rsidRPr="008A42A7">
        <w:rPr>
          <w:rFonts w:ascii="Times New Roman" w:hAnsi="Times New Roman"/>
        </w:rPr>
        <w:t xml:space="preserve">que « le racisme s’est emparé de l’expérience religieuse pour s’accomplir comme crime, et </w:t>
      </w:r>
      <w:r w:rsidR="008A3BFE">
        <w:rPr>
          <w:rFonts w:ascii="Times New Roman" w:hAnsi="Times New Roman"/>
        </w:rPr>
        <w:t xml:space="preserve">[que] </w:t>
      </w:r>
      <w:r w:rsidR="008A3BFE" w:rsidRPr="008A42A7">
        <w:rPr>
          <w:rFonts w:ascii="Times New Roman" w:hAnsi="Times New Roman"/>
        </w:rPr>
        <w:t>les pratiques religieuses ont entretenu l’énergie meurtrière des tueurs</w:t>
      </w:r>
      <w:r w:rsidR="008A3BFE" w:rsidRPr="008A42A7">
        <w:rPr>
          <w:rStyle w:val="Marquenotebasdepage"/>
          <w:rFonts w:ascii="Times New Roman" w:hAnsi="Times New Roman"/>
        </w:rPr>
        <w:footnoteReference w:id="9"/>
      </w:r>
      <w:r w:rsidR="008A3BFE" w:rsidRPr="008A42A7">
        <w:rPr>
          <w:rFonts w:ascii="Times New Roman" w:hAnsi="Times New Roman"/>
        </w:rPr>
        <w:t>. »</w:t>
      </w:r>
      <w:r w:rsidR="008A3BFE">
        <w:rPr>
          <w:rFonts w:ascii="Times New Roman" w:hAnsi="Times New Roman"/>
        </w:rPr>
        <w:t xml:space="preserve"> </w:t>
      </w:r>
    </w:p>
    <w:p w14:paraId="5E09CC10" w14:textId="77777777" w:rsidR="00CC4812" w:rsidRDefault="00CC4812" w:rsidP="00CC4812">
      <w:pPr>
        <w:jc w:val="both"/>
        <w:rPr>
          <w:rFonts w:ascii="Times New Roman" w:hAnsi="Times New Roman"/>
        </w:rPr>
      </w:pPr>
    </w:p>
    <w:p w14:paraId="26FAB29A" w14:textId="23E65EA1" w:rsidR="009A304E" w:rsidRDefault="00CC4812" w:rsidP="00E316B0">
      <w:pPr>
        <w:ind w:left="1416"/>
        <w:jc w:val="both"/>
        <w:rPr>
          <w:rFonts w:ascii="Times New Roman" w:hAnsi="Times New Roman"/>
        </w:rPr>
      </w:pPr>
      <w:r>
        <w:rPr>
          <w:rFonts w:ascii="Times New Roman" w:hAnsi="Times New Roman"/>
        </w:rPr>
        <w:t>-</w:t>
      </w:r>
      <w:r w:rsidR="008A3BFE">
        <w:rPr>
          <w:rFonts w:ascii="Times New Roman" w:hAnsi="Times New Roman"/>
        </w:rPr>
        <w:t>Et dès lors, oui, le génocide des T</w:t>
      </w:r>
      <w:r w:rsidR="008A3BFE" w:rsidRPr="008A42A7">
        <w:rPr>
          <w:rFonts w:ascii="Times New Roman" w:hAnsi="Times New Roman"/>
        </w:rPr>
        <w:t>utsi « a été partiellement commis religieusement</w:t>
      </w:r>
      <w:r w:rsidR="008A3BFE" w:rsidRPr="008A42A7">
        <w:rPr>
          <w:rStyle w:val="Marquenotebasdepage"/>
          <w:rFonts w:ascii="Times New Roman" w:hAnsi="Times New Roman"/>
        </w:rPr>
        <w:footnoteReference w:id="10"/>
      </w:r>
      <w:r w:rsidR="008A3BFE" w:rsidRPr="008A42A7">
        <w:rPr>
          <w:rFonts w:ascii="Times New Roman" w:hAnsi="Times New Roman"/>
        </w:rPr>
        <w:t>. »</w:t>
      </w:r>
      <w:r w:rsidR="008A3BFE">
        <w:rPr>
          <w:rFonts w:ascii="Times New Roman" w:hAnsi="Times New Roman"/>
        </w:rPr>
        <w:t xml:space="preserve"> </w:t>
      </w:r>
    </w:p>
    <w:p w14:paraId="7AA28520" w14:textId="77777777" w:rsidR="009A304E" w:rsidRDefault="009A304E" w:rsidP="009A304E">
      <w:pPr>
        <w:jc w:val="both"/>
        <w:rPr>
          <w:rFonts w:ascii="Times New Roman" w:hAnsi="Times New Roman"/>
        </w:rPr>
      </w:pPr>
    </w:p>
    <w:p w14:paraId="47DA0BE5" w14:textId="77777777" w:rsidR="009A304E" w:rsidRDefault="009A304E" w:rsidP="009A304E">
      <w:pPr>
        <w:jc w:val="both"/>
        <w:rPr>
          <w:rFonts w:ascii="Times New Roman" w:hAnsi="Times New Roman"/>
        </w:rPr>
      </w:pPr>
    </w:p>
    <w:p w14:paraId="13071FFE" w14:textId="17565FA8" w:rsidR="009A304E" w:rsidRDefault="009A304E" w:rsidP="009A304E">
      <w:pPr>
        <w:jc w:val="both"/>
        <w:rPr>
          <w:rFonts w:ascii="Times New Roman" w:hAnsi="Times New Roman"/>
        </w:rPr>
      </w:pPr>
      <w:r w:rsidRPr="009A304E">
        <w:rPr>
          <w:rFonts w:ascii="Times New Roman" w:hAnsi="Times New Roman"/>
          <w:b/>
        </w:rPr>
        <w:t>Conclusion</w:t>
      </w:r>
    </w:p>
    <w:p w14:paraId="136317E9" w14:textId="77777777" w:rsidR="009A304E" w:rsidRDefault="009A304E" w:rsidP="009A304E">
      <w:pPr>
        <w:jc w:val="both"/>
        <w:rPr>
          <w:rFonts w:ascii="Times New Roman" w:hAnsi="Times New Roman"/>
        </w:rPr>
      </w:pPr>
    </w:p>
    <w:p w14:paraId="5B9907CE" w14:textId="0F91DE57" w:rsidR="009A304E" w:rsidRDefault="00B81AE1" w:rsidP="009A304E">
      <w:pPr>
        <w:jc w:val="both"/>
        <w:rPr>
          <w:rFonts w:ascii="Times New Roman" w:hAnsi="Times New Roman"/>
        </w:rPr>
      </w:pPr>
      <w:r>
        <w:rPr>
          <w:rFonts w:ascii="Times New Roman" w:hAnsi="Times New Roman"/>
        </w:rPr>
        <w:t xml:space="preserve">-Il est </w:t>
      </w:r>
      <w:r w:rsidR="009A304E">
        <w:rPr>
          <w:rFonts w:ascii="Times New Roman" w:hAnsi="Times New Roman"/>
        </w:rPr>
        <w:t>rès difficile de conclure</w:t>
      </w:r>
      <w:r w:rsidR="003B761E">
        <w:rPr>
          <w:rFonts w:ascii="Times New Roman" w:hAnsi="Times New Roman"/>
        </w:rPr>
        <w:t>, et je le ferai d’un mot</w:t>
      </w:r>
      <w:r w:rsidR="009A304E">
        <w:rPr>
          <w:rFonts w:ascii="Times New Roman" w:hAnsi="Times New Roman"/>
        </w:rPr>
        <w:t xml:space="preserve"> : les </w:t>
      </w:r>
      <w:r w:rsidR="009A304E" w:rsidRPr="003B761E">
        <w:rPr>
          <w:rFonts w:ascii="Times New Roman" w:hAnsi="Times New Roman"/>
          <w:i/>
        </w:rPr>
        <w:t>questions</w:t>
      </w:r>
      <w:r w:rsidR="009A304E">
        <w:rPr>
          <w:rFonts w:ascii="Times New Roman" w:hAnsi="Times New Roman"/>
        </w:rPr>
        <w:t xml:space="preserve"> que posent le GTR nous </w:t>
      </w:r>
      <w:r w:rsidR="009A304E" w:rsidRPr="00E316B0">
        <w:rPr>
          <w:rFonts w:ascii="Times New Roman" w:hAnsi="Times New Roman"/>
          <w:i/>
        </w:rPr>
        <w:t>débordent</w:t>
      </w:r>
      <w:r w:rsidR="009A304E">
        <w:rPr>
          <w:rFonts w:ascii="Times New Roman" w:hAnsi="Times New Roman"/>
        </w:rPr>
        <w:t xml:space="preserve"> de toute part, elles débordent, je crois, ce que nous croyions jusqu’ici savoir, comprendre, analyser, interpréter</w:t>
      </w:r>
      <w:r w:rsidR="006654DA">
        <w:rPr>
          <w:rFonts w:ascii="Times New Roman" w:hAnsi="Times New Roman"/>
        </w:rPr>
        <w:t xml:space="preserve"> en ce domaine</w:t>
      </w:r>
      <w:r w:rsidR="009A304E">
        <w:rPr>
          <w:rFonts w:ascii="Times New Roman" w:hAnsi="Times New Roman"/>
        </w:rPr>
        <w:t>…</w:t>
      </w:r>
    </w:p>
    <w:p w14:paraId="18CD5297" w14:textId="77777777" w:rsidR="009A304E" w:rsidRDefault="009A304E" w:rsidP="009A304E">
      <w:pPr>
        <w:jc w:val="both"/>
        <w:rPr>
          <w:rFonts w:ascii="Times New Roman" w:hAnsi="Times New Roman"/>
        </w:rPr>
      </w:pPr>
    </w:p>
    <w:p w14:paraId="17E61BC9" w14:textId="0F61FC15" w:rsidR="009A304E" w:rsidRDefault="009A304E" w:rsidP="009A304E">
      <w:pPr>
        <w:ind w:left="1416" w:firstLine="4"/>
        <w:jc w:val="both"/>
        <w:rPr>
          <w:rFonts w:ascii="Times New Roman" w:hAnsi="Times New Roman"/>
        </w:rPr>
      </w:pPr>
      <w:r>
        <w:rPr>
          <w:rFonts w:ascii="Times New Roman" w:hAnsi="Times New Roman"/>
        </w:rPr>
        <w:t xml:space="preserve">-Peut-être est-ce une question d’insuffisance des outils, ceux dont disposent les SHS </w:t>
      </w:r>
      <w:r w:rsidRPr="009A304E">
        <w:rPr>
          <w:rFonts w:ascii="Times New Roman" w:hAnsi="Times New Roman"/>
          <w:i/>
        </w:rPr>
        <w:t>actuellement </w:t>
      </w:r>
      <w:r>
        <w:rPr>
          <w:rFonts w:ascii="Times New Roman" w:hAnsi="Times New Roman"/>
        </w:rPr>
        <w:t xml:space="preserve">? Peut-être </w:t>
      </w:r>
      <w:r w:rsidR="003B761E">
        <w:rPr>
          <w:rFonts w:ascii="Times New Roman" w:hAnsi="Times New Roman"/>
        </w:rPr>
        <w:t>les questions</w:t>
      </w:r>
      <w:r>
        <w:rPr>
          <w:rFonts w:ascii="Times New Roman" w:hAnsi="Times New Roman"/>
        </w:rPr>
        <w:t xml:space="preserve"> sont</w:t>
      </w:r>
      <w:r w:rsidR="003B761E">
        <w:rPr>
          <w:rFonts w:ascii="Times New Roman" w:hAnsi="Times New Roman"/>
        </w:rPr>
        <w:t>-elles</w:t>
      </w:r>
      <w:r>
        <w:rPr>
          <w:rFonts w:ascii="Times New Roman" w:hAnsi="Times New Roman"/>
        </w:rPr>
        <w:t xml:space="preserve"> mal posées ?</w:t>
      </w:r>
    </w:p>
    <w:p w14:paraId="214A9472" w14:textId="77777777" w:rsidR="009A304E" w:rsidRDefault="009A304E" w:rsidP="003B761E">
      <w:pPr>
        <w:jc w:val="both"/>
        <w:rPr>
          <w:rFonts w:ascii="Times New Roman" w:hAnsi="Times New Roman"/>
        </w:rPr>
      </w:pPr>
    </w:p>
    <w:p w14:paraId="452D8A6B" w14:textId="5D1314E9" w:rsidR="009A304E" w:rsidRDefault="009A304E" w:rsidP="009A304E">
      <w:pPr>
        <w:ind w:left="2832" w:firstLine="8"/>
        <w:jc w:val="both"/>
        <w:rPr>
          <w:rFonts w:ascii="Times New Roman" w:hAnsi="Times New Roman"/>
        </w:rPr>
      </w:pPr>
      <w:r>
        <w:rPr>
          <w:rFonts w:ascii="Times New Roman" w:hAnsi="Times New Roman"/>
        </w:rPr>
        <w:t xml:space="preserve">*Pour ma part, </w:t>
      </w:r>
      <w:r w:rsidR="003B761E">
        <w:rPr>
          <w:rFonts w:ascii="Times New Roman" w:hAnsi="Times New Roman"/>
        </w:rPr>
        <w:t xml:space="preserve">sur ce sujet terrible, </w:t>
      </w:r>
      <w:r>
        <w:rPr>
          <w:rFonts w:ascii="Times New Roman" w:hAnsi="Times New Roman"/>
        </w:rPr>
        <w:t>je suis bien conscient que les sciences sociales ne font briller qu’</w:t>
      </w:r>
      <w:r w:rsidRPr="00E316B0">
        <w:rPr>
          <w:rFonts w:ascii="Times New Roman" w:hAnsi="Times New Roman"/>
          <w:i/>
        </w:rPr>
        <w:t>une très mince flamme</w:t>
      </w:r>
      <w:r>
        <w:rPr>
          <w:rFonts w:ascii="Times New Roman" w:hAnsi="Times New Roman"/>
        </w:rPr>
        <w:t xml:space="preserve">, mais </w:t>
      </w:r>
      <w:r w:rsidR="003B761E">
        <w:rPr>
          <w:rFonts w:ascii="Times New Roman" w:hAnsi="Times New Roman"/>
        </w:rPr>
        <w:t>pour ma part et</w:t>
      </w:r>
      <w:r w:rsidR="006654DA">
        <w:rPr>
          <w:rFonts w:ascii="Times New Roman" w:hAnsi="Times New Roman"/>
        </w:rPr>
        <w:t xml:space="preserve"> </w:t>
      </w:r>
      <w:r>
        <w:rPr>
          <w:rFonts w:ascii="Times New Roman" w:hAnsi="Times New Roman"/>
        </w:rPr>
        <w:t xml:space="preserve">en l’occurrence, </w:t>
      </w:r>
      <w:r w:rsidRPr="009A304E">
        <w:rPr>
          <w:rFonts w:ascii="Times New Roman" w:hAnsi="Times New Roman"/>
          <w:i/>
        </w:rPr>
        <w:t>c’est tout ce que j’ai</w:t>
      </w:r>
      <w:r>
        <w:rPr>
          <w:rFonts w:ascii="Times New Roman" w:hAnsi="Times New Roman"/>
        </w:rPr>
        <w:t>.</w:t>
      </w:r>
    </w:p>
    <w:p w14:paraId="1227941D" w14:textId="77777777" w:rsidR="00AE653A" w:rsidRDefault="00AE653A" w:rsidP="009A304E">
      <w:pPr>
        <w:ind w:left="2832" w:firstLine="8"/>
        <w:jc w:val="both"/>
        <w:rPr>
          <w:rFonts w:ascii="Times New Roman" w:hAnsi="Times New Roman"/>
        </w:rPr>
      </w:pPr>
    </w:p>
    <w:p w14:paraId="1369D15D" w14:textId="2BE0B72E" w:rsidR="00AE653A" w:rsidRDefault="00AE653A" w:rsidP="009A304E">
      <w:pPr>
        <w:ind w:left="2832" w:firstLine="8"/>
        <w:jc w:val="both"/>
        <w:rPr>
          <w:rFonts w:ascii="Times New Roman" w:hAnsi="Times New Roman"/>
        </w:rPr>
      </w:pPr>
      <w:r w:rsidRPr="000325C5">
        <w:rPr>
          <w:b/>
          <w:bCs/>
        </w:rPr>
        <w:t>Stéphane A</w:t>
      </w:r>
      <w:r>
        <w:rPr>
          <w:b/>
          <w:bCs/>
        </w:rPr>
        <w:t>UDOIN</w:t>
      </w:r>
      <w:r w:rsidRPr="000325C5">
        <w:rPr>
          <w:b/>
          <w:bCs/>
        </w:rPr>
        <w:t>-R</w:t>
      </w:r>
      <w:r>
        <w:rPr>
          <w:b/>
          <w:bCs/>
        </w:rPr>
        <w:t>OUZEAU</w:t>
      </w:r>
      <w:bookmarkStart w:id="0" w:name="_GoBack"/>
      <w:bookmarkEnd w:id="0"/>
    </w:p>
    <w:p w14:paraId="7F23FCC4" w14:textId="77777777" w:rsidR="009A304E" w:rsidRDefault="009A304E" w:rsidP="009A304E">
      <w:pPr>
        <w:jc w:val="both"/>
        <w:rPr>
          <w:rFonts w:ascii="Times New Roman" w:hAnsi="Times New Roman"/>
        </w:rPr>
      </w:pPr>
    </w:p>
    <w:p w14:paraId="22A4D980" w14:textId="77777777" w:rsidR="008A3BFE" w:rsidRPr="007C5D41" w:rsidRDefault="008A3BFE" w:rsidP="009A304E">
      <w:pPr>
        <w:jc w:val="both"/>
        <w:rPr>
          <w:rFonts w:ascii="Times New Roman" w:hAnsi="Times New Roman"/>
        </w:rPr>
      </w:pPr>
    </w:p>
    <w:p w14:paraId="2938C55D" w14:textId="77777777" w:rsidR="00BF1E4F" w:rsidRPr="002B669E" w:rsidRDefault="00BF1E4F" w:rsidP="00EB04B6"/>
    <w:sectPr w:rsidR="00BF1E4F" w:rsidRPr="002B669E" w:rsidSect="00BF1E4F">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98EF" w14:textId="77777777" w:rsidR="00B07540" w:rsidRDefault="00B07540">
      <w:r>
        <w:separator/>
      </w:r>
    </w:p>
  </w:endnote>
  <w:endnote w:type="continuationSeparator" w:id="0">
    <w:p w14:paraId="5FE1092E" w14:textId="77777777" w:rsidR="00B07540" w:rsidRDefault="00B0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84DAA" w14:textId="77777777" w:rsidR="00B07540" w:rsidRDefault="00B07540">
      <w:r>
        <w:separator/>
      </w:r>
    </w:p>
  </w:footnote>
  <w:footnote w:type="continuationSeparator" w:id="0">
    <w:p w14:paraId="7486456A" w14:textId="77777777" w:rsidR="00B07540" w:rsidRDefault="00B07540">
      <w:r>
        <w:continuationSeparator/>
      </w:r>
    </w:p>
  </w:footnote>
  <w:footnote w:id="1">
    <w:p w14:paraId="7BB02AC5" w14:textId="4917ABD3" w:rsidR="00B07540" w:rsidRPr="00A210B4" w:rsidRDefault="00B07540" w:rsidP="008A3BFE">
      <w:pPr>
        <w:pStyle w:val="Notedebasdepage"/>
        <w:rPr>
          <w:sz w:val="22"/>
        </w:rPr>
      </w:pPr>
      <w:r w:rsidRPr="00A210B4">
        <w:rPr>
          <w:rStyle w:val="Marquenotebasdepage"/>
          <w:sz w:val="22"/>
        </w:rPr>
        <w:footnoteRef/>
      </w:r>
      <w:r>
        <w:rPr>
          <w:sz w:val="22"/>
        </w:rPr>
        <w:t xml:space="preserve"> Je </w:t>
      </w:r>
      <w:r w:rsidR="00F40681">
        <w:rPr>
          <w:sz w:val="22"/>
        </w:rPr>
        <w:t>me réfère</w:t>
      </w:r>
      <w:r>
        <w:rPr>
          <w:sz w:val="22"/>
        </w:rPr>
        <w:t xml:space="preserve"> ici</w:t>
      </w:r>
      <w:r w:rsidR="00F40681">
        <w:rPr>
          <w:sz w:val="22"/>
        </w:rPr>
        <w:t xml:space="preserve"> à </w:t>
      </w:r>
      <w:r>
        <w:rPr>
          <w:sz w:val="22"/>
        </w:rPr>
        <w:t xml:space="preserve"> la ligne d’interprétation, selon moi particulièrement pertinente, proposée par l’anthropologue Véronique Nahoum-Grappe, notamment dans « Anthropologie de la violence extrême : le crime de profanation », </w:t>
      </w:r>
      <w:r w:rsidRPr="00D6593A">
        <w:rPr>
          <w:i/>
          <w:sz w:val="22"/>
        </w:rPr>
        <w:t>Revue internationale des sciences sociales</w:t>
      </w:r>
      <w:r>
        <w:rPr>
          <w:sz w:val="22"/>
        </w:rPr>
        <w:t xml:space="preserve">, 2002/4, n°174, p.601-609. « L’usage politique de la cruauté », </w:t>
      </w:r>
      <w:r w:rsidRPr="007D61EC">
        <w:rPr>
          <w:i/>
          <w:sz w:val="22"/>
        </w:rPr>
        <w:t>in</w:t>
      </w:r>
      <w:r>
        <w:rPr>
          <w:sz w:val="22"/>
        </w:rPr>
        <w:t xml:space="preserve"> Séminaire de Françoise Héritier (dir.), </w:t>
      </w:r>
      <w:r w:rsidRPr="007D61EC">
        <w:rPr>
          <w:i/>
          <w:sz w:val="22"/>
        </w:rPr>
        <w:t>De la Violence</w:t>
      </w:r>
      <w:r>
        <w:rPr>
          <w:sz w:val="22"/>
        </w:rPr>
        <w:t xml:space="preserve"> I, Paris, Odile Jacob, 1997, </w:t>
      </w:r>
      <w:r w:rsidRPr="00B12377">
        <w:rPr>
          <w:sz w:val="22"/>
        </w:rPr>
        <w:t>p.273-323.</w:t>
      </w:r>
    </w:p>
  </w:footnote>
  <w:footnote w:id="2">
    <w:p w14:paraId="3065BAE2" w14:textId="77777777" w:rsidR="00B07540" w:rsidRPr="00A210B4" w:rsidRDefault="00B07540" w:rsidP="008A3BFE">
      <w:pPr>
        <w:pStyle w:val="Notedebasdepage"/>
        <w:rPr>
          <w:sz w:val="22"/>
        </w:rPr>
      </w:pPr>
      <w:r w:rsidRPr="00A210B4">
        <w:rPr>
          <w:rStyle w:val="Marquenotebasdepage"/>
          <w:sz w:val="22"/>
        </w:rPr>
        <w:footnoteRef/>
      </w:r>
      <w:r w:rsidRPr="00A210B4">
        <w:rPr>
          <w:sz w:val="22"/>
        </w:rPr>
        <w:t xml:space="preserve"> Denis Crouzet, </w:t>
      </w:r>
      <w:r w:rsidRPr="00A210B4">
        <w:rPr>
          <w:i/>
          <w:sz w:val="22"/>
        </w:rPr>
        <w:t>Les guerriers de Dieu. La violence au temps des troubles de religion, vers 1525-vers 1610</w:t>
      </w:r>
      <w:r>
        <w:rPr>
          <w:sz w:val="22"/>
        </w:rPr>
        <w:t xml:space="preserve">, </w:t>
      </w:r>
      <w:r w:rsidRPr="00A210B4">
        <w:rPr>
          <w:sz w:val="22"/>
        </w:rPr>
        <w:t>Paris</w:t>
      </w:r>
      <w:r>
        <w:rPr>
          <w:sz w:val="22"/>
        </w:rPr>
        <w:t>, Champ Vallon, 1990</w:t>
      </w:r>
      <w:r w:rsidRPr="00A210B4">
        <w:rPr>
          <w:sz w:val="22"/>
        </w:rPr>
        <w:t>.</w:t>
      </w:r>
    </w:p>
  </w:footnote>
  <w:footnote w:id="3">
    <w:p w14:paraId="49BF388F" w14:textId="77777777" w:rsidR="00B07540" w:rsidRPr="00A210B4" w:rsidRDefault="00B07540" w:rsidP="008A3BFE">
      <w:pPr>
        <w:pStyle w:val="Notedebasdepage"/>
        <w:rPr>
          <w:sz w:val="22"/>
        </w:rPr>
      </w:pPr>
      <w:r w:rsidRPr="00A210B4">
        <w:rPr>
          <w:rStyle w:val="Marquenotebasdepage"/>
          <w:sz w:val="22"/>
        </w:rPr>
        <w:footnoteRef/>
      </w:r>
      <w:r w:rsidRPr="00A210B4">
        <w:rPr>
          <w:sz w:val="22"/>
        </w:rPr>
        <w:t xml:space="preserve"> Mary Douglas,</w:t>
      </w:r>
      <w:r w:rsidRPr="00A210B4">
        <w:rPr>
          <w:i/>
          <w:sz w:val="22"/>
        </w:rPr>
        <w:t xml:space="preserve"> De la Souillure</w:t>
      </w:r>
      <w:r>
        <w:rPr>
          <w:sz w:val="22"/>
        </w:rPr>
        <w:t xml:space="preserve">. </w:t>
      </w:r>
      <w:r w:rsidRPr="00B12377">
        <w:rPr>
          <w:i/>
          <w:sz w:val="22"/>
        </w:rPr>
        <w:t>Essai sur les notions de pollution et de tabou</w:t>
      </w:r>
      <w:r>
        <w:rPr>
          <w:sz w:val="22"/>
        </w:rPr>
        <w:t>, Paris, Maspero, 1981 [</w:t>
      </w:r>
      <w:r w:rsidRPr="00A210B4">
        <w:rPr>
          <w:sz w:val="22"/>
        </w:rPr>
        <w:t>1967</w:t>
      </w:r>
      <w:r>
        <w:rPr>
          <w:sz w:val="22"/>
        </w:rPr>
        <w:t>], p.135</w:t>
      </w:r>
      <w:r w:rsidRPr="00A210B4">
        <w:rPr>
          <w:sz w:val="22"/>
        </w:rPr>
        <w:t>.</w:t>
      </w:r>
    </w:p>
  </w:footnote>
  <w:footnote w:id="4">
    <w:p w14:paraId="080984D8" w14:textId="77777777" w:rsidR="00B07540" w:rsidRPr="00A210B4" w:rsidRDefault="00B07540" w:rsidP="00320433">
      <w:pPr>
        <w:pStyle w:val="Notedebasdepage"/>
        <w:rPr>
          <w:sz w:val="22"/>
        </w:rPr>
      </w:pPr>
      <w:r w:rsidRPr="00A210B4">
        <w:rPr>
          <w:rStyle w:val="Marquenotebasdepage"/>
          <w:sz w:val="22"/>
        </w:rPr>
        <w:footnoteRef/>
      </w:r>
      <w:r w:rsidRPr="00A210B4">
        <w:rPr>
          <w:sz w:val="22"/>
        </w:rPr>
        <w:t xml:space="preserve"> Sigmund Freud, « Le tabou de la virginité », </w:t>
      </w:r>
      <w:r w:rsidRPr="00A210B4">
        <w:rPr>
          <w:i/>
          <w:sz w:val="22"/>
        </w:rPr>
        <w:t>Revue française de psychanalyse</w:t>
      </w:r>
      <w:r w:rsidRPr="00A210B4">
        <w:rPr>
          <w:sz w:val="22"/>
        </w:rPr>
        <w:t>, T.VI, n°1,1933, p.2-17, p.8.</w:t>
      </w:r>
    </w:p>
  </w:footnote>
  <w:footnote w:id="5">
    <w:p w14:paraId="73E1C2E5" w14:textId="77777777" w:rsidR="00B07540" w:rsidRPr="00573E37" w:rsidRDefault="00B07540" w:rsidP="008A3BFE">
      <w:pPr>
        <w:pStyle w:val="Notedebasdepage"/>
        <w:rPr>
          <w:sz w:val="22"/>
        </w:rPr>
      </w:pPr>
      <w:r w:rsidRPr="00A210B4">
        <w:rPr>
          <w:rStyle w:val="Marquenotebasdepage"/>
          <w:sz w:val="22"/>
        </w:rPr>
        <w:footnoteRef/>
      </w:r>
      <w:r w:rsidRPr="00A210B4">
        <w:rPr>
          <w:sz w:val="22"/>
        </w:rPr>
        <w:t xml:space="preserve"> </w:t>
      </w:r>
      <w:r w:rsidRPr="00573E37">
        <w:rPr>
          <w:i/>
          <w:sz w:val="22"/>
        </w:rPr>
        <w:t>Al-Safir</w:t>
      </w:r>
      <w:r w:rsidRPr="00573E37">
        <w:rPr>
          <w:sz w:val="22"/>
        </w:rPr>
        <w:t>, 14 avril 1986.</w:t>
      </w:r>
    </w:p>
  </w:footnote>
  <w:footnote w:id="6">
    <w:p w14:paraId="08A66BD8" w14:textId="77777777" w:rsidR="00B07540" w:rsidRPr="00384F64" w:rsidRDefault="00B07540" w:rsidP="008A3BFE">
      <w:pPr>
        <w:pStyle w:val="Notedebasdepage"/>
        <w:rPr>
          <w:sz w:val="22"/>
        </w:rPr>
      </w:pPr>
      <w:r w:rsidRPr="00384F64">
        <w:rPr>
          <w:rStyle w:val="Marquenotebasdepage"/>
          <w:sz w:val="22"/>
        </w:rPr>
        <w:footnoteRef/>
      </w:r>
      <w:r w:rsidRPr="00384F64">
        <w:rPr>
          <w:sz w:val="22"/>
        </w:rPr>
        <w:t xml:space="preserve"> Agé de 31 ans en 1994, il avait été affecté en septembre 1993 à Nyange. Le curé local, avec lequel il était en conflit, n’était pas présent lors du génocide. Athanase Seromba a été condamné en décembre 2006 par le tribunal d’Arusha à quinze années de prison. Son statut de prêtre a été considéré comme une circonstance aggravante, en raison de « l’abus de confiance » dont il s’était rendu coupable à l’égard de ses </w:t>
      </w:r>
      <w:r>
        <w:rPr>
          <w:sz w:val="22"/>
        </w:rPr>
        <w:t>paroissiens</w:t>
      </w:r>
      <w:r w:rsidRPr="00384F64">
        <w:rPr>
          <w:sz w:val="22"/>
        </w:rPr>
        <w:t>.</w:t>
      </w:r>
    </w:p>
  </w:footnote>
  <w:footnote w:id="7">
    <w:p w14:paraId="7383E434" w14:textId="77777777" w:rsidR="00B07540" w:rsidRPr="00384F64" w:rsidRDefault="00B07540" w:rsidP="008A3BFE">
      <w:pPr>
        <w:pStyle w:val="Notedebasdepage"/>
        <w:rPr>
          <w:sz w:val="22"/>
        </w:rPr>
      </w:pPr>
      <w:r w:rsidRPr="00384F64">
        <w:rPr>
          <w:rStyle w:val="Marquenotebasdepage"/>
          <w:sz w:val="22"/>
        </w:rPr>
        <w:footnoteRef/>
      </w:r>
      <w:r w:rsidRPr="00384F64">
        <w:rPr>
          <w:sz w:val="22"/>
        </w:rPr>
        <w:t xml:space="preserve"> Denis Crouzet, </w:t>
      </w:r>
      <w:r w:rsidRPr="00384F64">
        <w:rPr>
          <w:i/>
          <w:sz w:val="22"/>
        </w:rPr>
        <w:t>Les guerriers de Dieu. La violence au temps des troubles de religion, vers 1525-vers 1610</w:t>
      </w:r>
      <w:r w:rsidRPr="00384F64">
        <w:rPr>
          <w:sz w:val="22"/>
        </w:rPr>
        <w:t>, Paris, Champ Vallon, 1990.</w:t>
      </w:r>
    </w:p>
  </w:footnote>
  <w:footnote w:id="8">
    <w:p w14:paraId="351B1378" w14:textId="77777777" w:rsidR="00B07540" w:rsidRPr="00384F64" w:rsidRDefault="00B07540" w:rsidP="008A3BFE">
      <w:pPr>
        <w:pStyle w:val="Notedebasdepage"/>
        <w:rPr>
          <w:sz w:val="22"/>
        </w:rPr>
      </w:pPr>
      <w:r w:rsidRPr="00384F64">
        <w:rPr>
          <w:rStyle w:val="Marquenotebasdepage"/>
          <w:sz w:val="22"/>
        </w:rPr>
        <w:footnoteRef/>
      </w:r>
      <w:r w:rsidRPr="00384F64">
        <w:rPr>
          <w:sz w:val="22"/>
        </w:rPr>
        <w:t xml:space="preserve"> Timothy Longman, « Church Politics and the Genocide in Rwanda », </w:t>
      </w:r>
      <w:r w:rsidRPr="00384F64">
        <w:rPr>
          <w:i/>
          <w:sz w:val="22"/>
        </w:rPr>
        <w:t>Journal of Religion in Africa</w:t>
      </w:r>
      <w:r w:rsidRPr="00384F64">
        <w:rPr>
          <w:sz w:val="22"/>
        </w:rPr>
        <w:t xml:space="preserve">, vol.31 ; fasc.2, Religion and War in the 1990s, mai 2001, p.163-186. Cité par Julien Seroussi, « Les diables des mille collines. Fictions raciales et religieuses dans le génocide des Tutsi », </w:t>
      </w:r>
      <w:r w:rsidRPr="00384F64">
        <w:rPr>
          <w:i/>
          <w:sz w:val="22"/>
        </w:rPr>
        <w:t>La vie des idées</w:t>
      </w:r>
      <w:r w:rsidRPr="00384F64">
        <w:rPr>
          <w:sz w:val="22"/>
        </w:rPr>
        <w:t>, 27 octobre 2015, p.3.</w:t>
      </w:r>
    </w:p>
  </w:footnote>
  <w:footnote w:id="9">
    <w:p w14:paraId="56074F06" w14:textId="77777777" w:rsidR="00B07540" w:rsidRPr="00384F64" w:rsidRDefault="00B07540" w:rsidP="008A3BFE">
      <w:pPr>
        <w:pStyle w:val="Notedebasdepage"/>
        <w:rPr>
          <w:sz w:val="22"/>
        </w:rPr>
      </w:pPr>
      <w:r w:rsidRPr="00384F64">
        <w:rPr>
          <w:rStyle w:val="Marquenotebasdepage"/>
          <w:sz w:val="22"/>
        </w:rPr>
        <w:footnoteRef/>
      </w:r>
      <w:r w:rsidRPr="00384F64">
        <w:rPr>
          <w:sz w:val="22"/>
        </w:rPr>
        <w:t xml:space="preserve"> Julien Seroussi, </w:t>
      </w:r>
      <w:r w:rsidRPr="00C374A5">
        <w:rPr>
          <w:i/>
          <w:sz w:val="22"/>
        </w:rPr>
        <w:t>op.cit.</w:t>
      </w:r>
      <w:r w:rsidRPr="00384F64">
        <w:rPr>
          <w:sz w:val="22"/>
        </w:rPr>
        <w:t>, p.2.</w:t>
      </w:r>
    </w:p>
  </w:footnote>
  <w:footnote w:id="10">
    <w:p w14:paraId="716F757D" w14:textId="77777777" w:rsidR="00B07540" w:rsidRPr="00384F64" w:rsidRDefault="00B07540" w:rsidP="008A3BFE">
      <w:pPr>
        <w:pStyle w:val="Notedebasdepage"/>
        <w:rPr>
          <w:sz w:val="22"/>
        </w:rPr>
      </w:pPr>
      <w:r w:rsidRPr="00384F64">
        <w:rPr>
          <w:rStyle w:val="Marquenotebasdepage"/>
          <w:sz w:val="22"/>
        </w:rPr>
        <w:footnoteRef/>
      </w:r>
      <w:r w:rsidRPr="00384F64">
        <w:rPr>
          <w:sz w:val="22"/>
        </w:rPr>
        <w:t xml:space="preserve"> </w:t>
      </w:r>
      <w:r w:rsidRPr="00384F64">
        <w:rPr>
          <w:i/>
          <w:sz w:val="22"/>
        </w:rPr>
        <w:t>Ibid</w:t>
      </w:r>
      <w:r w:rsidRPr="00384F64">
        <w:rPr>
          <w:sz w:val="22"/>
        </w:rPr>
        <w:t>.,p.9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630B" w14:textId="77777777" w:rsidR="00B07540" w:rsidRDefault="00B07540" w:rsidP="00BF1E4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375BCA" w14:textId="77777777" w:rsidR="00B07540" w:rsidRDefault="00B07540" w:rsidP="00BF1E4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9D5E" w14:textId="77777777" w:rsidR="00B07540" w:rsidRDefault="00B07540" w:rsidP="00BF1E4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653A">
      <w:rPr>
        <w:rStyle w:val="Numrodepage"/>
        <w:noProof/>
      </w:rPr>
      <w:t>1</w:t>
    </w:r>
    <w:r>
      <w:rPr>
        <w:rStyle w:val="Numrodepage"/>
      </w:rPr>
      <w:fldChar w:fldCharType="end"/>
    </w:r>
  </w:p>
  <w:p w14:paraId="2150C0E8" w14:textId="77777777" w:rsidR="00B07540" w:rsidRDefault="00B07540" w:rsidP="00BF1E4F">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A49"/>
    <w:multiLevelType w:val="hybridMultilevel"/>
    <w:tmpl w:val="7DB281AE"/>
    <w:lvl w:ilvl="0" w:tplc="62C0C934">
      <w:start w:val="7"/>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F5F49"/>
    <w:multiLevelType w:val="hybridMultilevel"/>
    <w:tmpl w:val="A4BEB2B6"/>
    <w:lvl w:ilvl="0" w:tplc="3748381A">
      <w:start w:val="2"/>
      <w:numFmt w:val="bullet"/>
      <w:lvlText w:val="-"/>
      <w:lvlJc w:val="left"/>
      <w:pPr>
        <w:ind w:left="1776" w:hanging="360"/>
      </w:pPr>
      <w:rPr>
        <w:rFonts w:ascii="Cambria" w:eastAsiaTheme="minorHAnsi" w:hAnsi="Cambria" w:cstheme="minorBidi"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2AD01AEF"/>
    <w:multiLevelType w:val="hybridMultilevel"/>
    <w:tmpl w:val="DA8A9D48"/>
    <w:lvl w:ilvl="0" w:tplc="7B60A15C">
      <w:start w:val="1"/>
      <w:numFmt w:val="decimal"/>
      <w:lvlText w:val="%1)"/>
      <w:lvlJc w:val="left"/>
      <w:pPr>
        <w:ind w:left="1836" w:hanging="360"/>
      </w:pPr>
      <w:rPr>
        <w:rFonts w:hint="default"/>
      </w:rPr>
    </w:lvl>
    <w:lvl w:ilvl="1" w:tplc="040C0019" w:tentative="1">
      <w:start w:val="1"/>
      <w:numFmt w:val="lowerLetter"/>
      <w:lvlText w:val="%2."/>
      <w:lvlJc w:val="left"/>
      <w:pPr>
        <w:ind w:left="2556" w:hanging="360"/>
      </w:pPr>
    </w:lvl>
    <w:lvl w:ilvl="2" w:tplc="040C001B" w:tentative="1">
      <w:start w:val="1"/>
      <w:numFmt w:val="lowerRoman"/>
      <w:lvlText w:val="%3."/>
      <w:lvlJc w:val="right"/>
      <w:pPr>
        <w:ind w:left="3276" w:hanging="180"/>
      </w:pPr>
    </w:lvl>
    <w:lvl w:ilvl="3" w:tplc="040C000F" w:tentative="1">
      <w:start w:val="1"/>
      <w:numFmt w:val="decimal"/>
      <w:lvlText w:val="%4."/>
      <w:lvlJc w:val="left"/>
      <w:pPr>
        <w:ind w:left="3996" w:hanging="360"/>
      </w:pPr>
    </w:lvl>
    <w:lvl w:ilvl="4" w:tplc="040C0019" w:tentative="1">
      <w:start w:val="1"/>
      <w:numFmt w:val="lowerLetter"/>
      <w:lvlText w:val="%5."/>
      <w:lvlJc w:val="left"/>
      <w:pPr>
        <w:ind w:left="4716" w:hanging="360"/>
      </w:pPr>
    </w:lvl>
    <w:lvl w:ilvl="5" w:tplc="040C001B" w:tentative="1">
      <w:start w:val="1"/>
      <w:numFmt w:val="lowerRoman"/>
      <w:lvlText w:val="%6."/>
      <w:lvlJc w:val="right"/>
      <w:pPr>
        <w:ind w:left="5436" w:hanging="180"/>
      </w:pPr>
    </w:lvl>
    <w:lvl w:ilvl="6" w:tplc="040C000F" w:tentative="1">
      <w:start w:val="1"/>
      <w:numFmt w:val="decimal"/>
      <w:lvlText w:val="%7."/>
      <w:lvlJc w:val="left"/>
      <w:pPr>
        <w:ind w:left="6156" w:hanging="360"/>
      </w:pPr>
    </w:lvl>
    <w:lvl w:ilvl="7" w:tplc="040C0019" w:tentative="1">
      <w:start w:val="1"/>
      <w:numFmt w:val="lowerLetter"/>
      <w:lvlText w:val="%8."/>
      <w:lvlJc w:val="left"/>
      <w:pPr>
        <w:ind w:left="6876" w:hanging="360"/>
      </w:pPr>
    </w:lvl>
    <w:lvl w:ilvl="8" w:tplc="040C001B" w:tentative="1">
      <w:start w:val="1"/>
      <w:numFmt w:val="lowerRoman"/>
      <w:lvlText w:val="%9."/>
      <w:lvlJc w:val="right"/>
      <w:pPr>
        <w:ind w:left="7596" w:hanging="180"/>
      </w:pPr>
    </w:lvl>
  </w:abstractNum>
  <w:abstractNum w:abstractNumId="3">
    <w:nsid w:val="6AC42CBF"/>
    <w:multiLevelType w:val="hybridMultilevel"/>
    <w:tmpl w:val="7A349B40"/>
    <w:lvl w:ilvl="0" w:tplc="9BBE2D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117227"/>
    <w:multiLevelType w:val="hybridMultilevel"/>
    <w:tmpl w:val="0A8E68C6"/>
    <w:lvl w:ilvl="0" w:tplc="9F807780">
      <w:start w:val="2"/>
      <w:numFmt w:val="bullet"/>
      <w:lvlText w:val="-"/>
      <w:lvlJc w:val="left"/>
      <w:pPr>
        <w:ind w:left="1780" w:hanging="360"/>
      </w:pPr>
      <w:rPr>
        <w:rFonts w:ascii="Cambria" w:eastAsiaTheme="minorHAnsi" w:hAnsi="Cambria" w:cstheme="minorBidi"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nsid w:val="74DF6BD6"/>
    <w:multiLevelType w:val="hybridMultilevel"/>
    <w:tmpl w:val="95D238A0"/>
    <w:lvl w:ilvl="0" w:tplc="7068D6BC">
      <w:start w:val="7"/>
      <w:numFmt w:val="bullet"/>
      <w:lvlText w:val=""/>
      <w:lvlJc w:val="left"/>
      <w:pPr>
        <w:ind w:left="3200" w:hanging="360"/>
      </w:pPr>
      <w:rPr>
        <w:rFonts w:ascii="Symbol" w:eastAsia="Cambria" w:hAnsi="Symbol" w:cs="Times New Roman" w:hint="default"/>
      </w:rPr>
    </w:lvl>
    <w:lvl w:ilvl="1" w:tplc="040C0003">
      <w:start w:val="1"/>
      <w:numFmt w:val="bullet"/>
      <w:lvlText w:val="o"/>
      <w:lvlJc w:val="left"/>
      <w:pPr>
        <w:ind w:left="3920" w:hanging="360"/>
      </w:pPr>
      <w:rPr>
        <w:rFonts w:ascii="Courier New" w:hAnsi="Courier New" w:hint="default"/>
      </w:rPr>
    </w:lvl>
    <w:lvl w:ilvl="2" w:tplc="040C0005">
      <w:start w:val="1"/>
      <w:numFmt w:val="bullet"/>
      <w:lvlText w:val=""/>
      <w:lvlJc w:val="left"/>
      <w:pPr>
        <w:ind w:left="4640" w:hanging="360"/>
      </w:pPr>
      <w:rPr>
        <w:rFonts w:ascii="Wingdings" w:hAnsi="Wingdings" w:hint="default"/>
      </w:rPr>
    </w:lvl>
    <w:lvl w:ilvl="3" w:tplc="040C0001" w:tentative="1">
      <w:start w:val="1"/>
      <w:numFmt w:val="bullet"/>
      <w:lvlText w:val=""/>
      <w:lvlJc w:val="left"/>
      <w:pPr>
        <w:ind w:left="5360" w:hanging="360"/>
      </w:pPr>
      <w:rPr>
        <w:rFonts w:ascii="Symbol" w:hAnsi="Symbol" w:hint="default"/>
      </w:rPr>
    </w:lvl>
    <w:lvl w:ilvl="4" w:tplc="040C0003" w:tentative="1">
      <w:start w:val="1"/>
      <w:numFmt w:val="bullet"/>
      <w:lvlText w:val="o"/>
      <w:lvlJc w:val="left"/>
      <w:pPr>
        <w:ind w:left="6080" w:hanging="360"/>
      </w:pPr>
      <w:rPr>
        <w:rFonts w:ascii="Courier New" w:hAnsi="Courier New" w:hint="default"/>
      </w:rPr>
    </w:lvl>
    <w:lvl w:ilvl="5" w:tplc="040C0005" w:tentative="1">
      <w:start w:val="1"/>
      <w:numFmt w:val="bullet"/>
      <w:lvlText w:val=""/>
      <w:lvlJc w:val="left"/>
      <w:pPr>
        <w:ind w:left="6800" w:hanging="360"/>
      </w:pPr>
      <w:rPr>
        <w:rFonts w:ascii="Wingdings" w:hAnsi="Wingdings" w:hint="default"/>
      </w:rPr>
    </w:lvl>
    <w:lvl w:ilvl="6" w:tplc="040C0001" w:tentative="1">
      <w:start w:val="1"/>
      <w:numFmt w:val="bullet"/>
      <w:lvlText w:val=""/>
      <w:lvlJc w:val="left"/>
      <w:pPr>
        <w:ind w:left="7520" w:hanging="360"/>
      </w:pPr>
      <w:rPr>
        <w:rFonts w:ascii="Symbol" w:hAnsi="Symbol" w:hint="default"/>
      </w:rPr>
    </w:lvl>
    <w:lvl w:ilvl="7" w:tplc="040C0003" w:tentative="1">
      <w:start w:val="1"/>
      <w:numFmt w:val="bullet"/>
      <w:lvlText w:val="o"/>
      <w:lvlJc w:val="left"/>
      <w:pPr>
        <w:ind w:left="8240" w:hanging="360"/>
      </w:pPr>
      <w:rPr>
        <w:rFonts w:ascii="Courier New" w:hAnsi="Courier New" w:hint="default"/>
      </w:rPr>
    </w:lvl>
    <w:lvl w:ilvl="8" w:tplc="040C0005" w:tentative="1">
      <w:start w:val="1"/>
      <w:numFmt w:val="bullet"/>
      <w:lvlText w:val=""/>
      <w:lvlJc w:val="left"/>
      <w:pPr>
        <w:ind w:left="89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02"/>
    <w:rsid w:val="000325C5"/>
    <w:rsid w:val="00097B30"/>
    <w:rsid w:val="000E713F"/>
    <w:rsid w:val="000F517E"/>
    <w:rsid w:val="00184B84"/>
    <w:rsid w:val="00280903"/>
    <w:rsid w:val="002A3CFA"/>
    <w:rsid w:val="002A6528"/>
    <w:rsid w:val="002B669E"/>
    <w:rsid w:val="00320433"/>
    <w:rsid w:val="00395379"/>
    <w:rsid w:val="003B761E"/>
    <w:rsid w:val="00427B93"/>
    <w:rsid w:val="004C5E96"/>
    <w:rsid w:val="004C71A3"/>
    <w:rsid w:val="005C6E55"/>
    <w:rsid w:val="005D1E02"/>
    <w:rsid w:val="006614EE"/>
    <w:rsid w:val="006654DA"/>
    <w:rsid w:val="00666E86"/>
    <w:rsid w:val="00715C56"/>
    <w:rsid w:val="00775080"/>
    <w:rsid w:val="00783F52"/>
    <w:rsid w:val="007E34DB"/>
    <w:rsid w:val="00840725"/>
    <w:rsid w:val="00842D85"/>
    <w:rsid w:val="00846177"/>
    <w:rsid w:val="008A3BFE"/>
    <w:rsid w:val="0096172A"/>
    <w:rsid w:val="009812A8"/>
    <w:rsid w:val="009A304E"/>
    <w:rsid w:val="00A01A13"/>
    <w:rsid w:val="00A2362F"/>
    <w:rsid w:val="00AA72D0"/>
    <w:rsid w:val="00AE653A"/>
    <w:rsid w:val="00B07540"/>
    <w:rsid w:val="00B4294A"/>
    <w:rsid w:val="00B62AE6"/>
    <w:rsid w:val="00B81AE1"/>
    <w:rsid w:val="00BD6658"/>
    <w:rsid w:val="00BF1E4F"/>
    <w:rsid w:val="00C17EEA"/>
    <w:rsid w:val="00C55E25"/>
    <w:rsid w:val="00C56145"/>
    <w:rsid w:val="00CB3720"/>
    <w:rsid w:val="00CC4812"/>
    <w:rsid w:val="00D06667"/>
    <w:rsid w:val="00D3779F"/>
    <w:rsid w:val="00DD62E1"/>
    <w:rsid w:val="00DF1C51"/>
    <w:rsid w:val="00E316B0"/>
    <w:rsid w:val="00E635C2"/>
    <w:rsid w:val="00EB04B6"/>
    <w:rsid w:val="00EF4ACC"/>
    <w:rsid w:val="00F40681"/>
    <w:rsid w:val="00F975AF"/>
    <w:rsid w:val="00FA70C9"/>
    <w:rsid w:val="00FF348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1E4F"/>
    <w:pPr>
      <w:tabs>
        <w:tab w:val="center" w:pos="4536"/>
        <w:tab w:val="right" w:pos="9072"/>
      </w:tabs>
    </w:pPr>
  </w:style>
  <w:style w:type="character" w:customStyle="1" w:styleId="En-tteCar">
    <w:name w:val="En-tête Car"/>
    <w:basedOn w:val="Policepardfaut"/>
    <w:link w:val="En-tte"/>
    <w:uiPriority w:val="99"/>
    <w:rsid w:val="00BF1E4F"/>
    <w:rPr>
      <w:lang w:val="fr-FR"/>
    </w:rPr>
  </w:style>
  <w:style w:type="character" w:styleId="Numrodepage">
    <w:name w:val="page number"/>
    <w:basedOn w:val="Policepardfaut"/>
    <w:uiPriority w:val="99"/>
    <w:unhideWhenUsed/>
    <w:rsid w:val="00BF1E4F"/>
  </w:style>
  <w:style w:type="paragraph" w:styleId="Textedebulles">
    <w:name w:val="Balloon Text"/>
    <w:basedOn w:val="Normal"/>
    <w:link w:val="TextedebullesCar1"/>
    <w:uiPriority w:val="99"/>
    <w:semiHidden/>
    <w:unhideWhenUsed/>
    <w:rsid w:val="008A3BFE"/>
    <w:rPr>
      <w:rFonts w:ascii="Lucida Grande" w:hAnsi="Lucida Grande"/>
      <w:sz w:val="18"/>
      <w:szCs w:val="18"/>
    </w:rPr>
  </w:style>
  <w:style w:type="character" w:customStyle="1" w:styleId="TextedebullesCar">
    <w:name w:val="Texte de bulles Car"/>
    <w:basedOn w:val="Policepardfaut"/>
    <w:uiPriority w:val="99"/>
    <w:semiHidden/>
    <w:rsid w:val="008A3BFE"/>
    <w:rPr>
      <w:rFonts w:ascii="Lucida Grande" w:hAnsi="Lucida Grande" w:cs="Lucida Grande"/>
      <w:sz w:val="18"/>
      <w:szCs w:val="18"/>
      <w:lang w:val="fr-FR"/>
    </w:rPr>
  </w:style>
  <w:style w:type="character" w:customStyle="1" w:styleId="TextedebullesCar1">
    <w:name w:val="Texte de bulles Car1"/>
    <w:basedOn w:val="Policepardfaut"/>
    <w:link w:val="Textedebulles"/>
    <w:uiPriority w:val="99"/>
    <w:semiHidden/>
    <w:rsid w:val="008A3BFE"/>
    <w:rPr>
      <w:rFonts w:ascii="Lucida Grande" w:hAnsi="Lucida Grande"/>
      <w:sz w:val="18"/>
      <w:szCs w:val="18"/>
      <w:lang w:val="fr-FR"/>
    </w:rPr>
  </w:style>
  <w:style w:type="paragraph" w:styleId="Notedebasdepage">
    <w:name w:val="footnote text"/>
    <w:basedOn w:val="Normal"/>
    <w:link w:val="NotedebasdepageCar"/>
    <w:uiPriority w:val="99"/>
    <w:unhideWhenUsed/>
    <w:rsid w:val="008A3BFE"/>
  </w:style>
  <w:style w:type="character" w:customStyle="1" w:styleId="NotedebasdepageCar">
    <w:name w:val="Note de bas de page Car"/>
    <w:basedOn w:val="Policepardfaut"/>
    <w:link w:val="Notedebasdepage"/>
    <w:uiPriority w:val="99"/>
    <w:rsid w:val="008A3BFE"/>
    <w:rPr>
      <w:lang w:val="fr-FR"/>
    </w:rPr>
  </w:style>
  <w:style w:type="character" w:styleId="Marquenotebasdepage">
    <w:name w:val="footnote reference"/>
    <w:basedOn w:val="Policepardfaut"/>
    <w:uiPriority w:val="99"/>
    <w:unhideWhenUsed/>
    <w:rsid w:val="008A3BFE"/>
    <w:rPr>
      <w:vertAlign w:val="superscript"/>
    </w:rPr>
  </w:style>
  <w:style w:type="character" w:customStyle="1" w:styleId="st">
    <w:name w:val="st"/>
    <w:basedOn w:val="Policepardfaut"/>
    <w:rsid w:val="008A3BFE"/>
  </w:style>
  <w:style w:type="character" w:styleId="Lienhypertexte">
    <w:name w:val="Hyperlink"/>
    <w:basedOn w:val="Policepardfaut"/>
    <w:uiPriority w:val="99"/>
    <w:semiHidden/>
    <w:unhideWhenUsed/>
    <w:rsid w:val="008A3BFE"/>
    <w:rPr>
      <w:color w:val="0000FF" w:themeColor="hyperlink"/>
      <w:u w:val="single"/>
    </w:rPr>
  </w:style>
  <w:style w:type="character" w:styleId="Accentuation">
    <w:name w:val="Emphasis"/>
    <w:basedOn w:val="Policepardfaut"/>
    <w:uiPriority w:val="20"/>
    <w:rsid w:val="008A3BFE"/>
    <w:rPr>
      <w:i/>
    </w:rPr>
  </w:style>
  <w:style w:type="paragraph" w:styleId="Paragraphedeliste">
    <w:name w:val="List Paragraph"/>
    <w:basedOn w:val="Normal"/>
    <w:uiPriority w:val="34"/>
    <w:qFormat/>
    <w:rsid w:val="008A3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1E4F"/>
    <w:pPr>
      <w:tabs>
        <w:tab w:val="center" w:pos="4536"/>
        <w:tab w:val="right" w:pos="9072"/>
      </w:tabs>
    </w:pPr>
  </w:style>
  <w:style w:type="character" w:customStyle="1" w:styleId="En-tteCar">
    <w:name w:val="En-tête Car"/>
    <w:basedOn w:val="Policepardfaut"/>
    <w:link w:val="En-tte"/>
    <w:uiPriority w:val="99"/>
    <w:rsid w:val="00BF1E4F"/>
    <w:rPr>
      <w:lang w:val="fr-FR"/>
    </w:rPr>
  </w:style>
  <w:style w:type="character" w:styleId="Numrodepage">
    <w:name w:val="page number"/>
    <w:basedOn w:val="Policepardfaut"/>
    <w:uiPriority w:val="99"/>
    <w:unhideWhenUsed/>
    <w:rsid w:val="00BF1E4F"/>
  </w:style>
  <w:style w:type="paragraph" w:styleId="Textedebulles">
    <w:name w:val="Balloon Text"/>
    <w:basedOn w:val="Normal"/>
    <w:link w:val="TextedebullesCar1"/>
    <w:uiPriority w:val="99"/>
    <w:semiHidden/>
    <w:unhideWhenUsed/>
    <w:rsid w:val="008A3BFE"/>
    <w:rPr>
      <w:rFonts w:ascii="Lucida Grande" w:hAnsi="Lucida Grande"/>
      <w:sz w:val="18"/>
      <w:szCs w:val="18"/>
    </w:rPr>
  </w:style>
  <w:style w:type="character" w:customStyle="1" w:styleId="TextedebullesCar">
    <w:name w:val="Texte de bulles Car"/>
    <w:basedOn w:val="Policepardfaut"/>
    <w:uiPriority w:val="99"/>
    <w:semiHidden/>
    <w:rsid w:val="008A3BFE"/>
    <w:rPr>
      <w:rFonts w:ascii="Lucida Grande" w:hAnsi="Lucida Grande" w:cs="Lucida Grande"/>
      <w:sz w:val="18"/>
      <w:szCs w:val="18"/>
      <w:lang w:val="fr-FR"/>
    </w:rPr>
  </w:style>
  <w:style w:type="character" w:customStyle="1" w:styleId="TextedebullesCar1">
    <w:name w:val="Texte de bulles Car1"/>
    <w:basedOn w:val="Policepardfaut"/>
    <w:link w:val="Textedebulles"/>
    <w:uiPriority w:val="99"/>
    <w:semiHidden/>
    <w:rsid w:val="008A3BFE"/>
    <w:rPr>
      <w:rFonts w:ascii="Lucida Grande" w:hAnsi="Lucida Grande"/>
      <w:sz w:val="18"/>
      <w:szCs w:val="18"/>
      <w:lang w:val="fr-FR"/>
    </w:rPr>
  </w:style>
  <w:style w:type="paragraph" w:styleId="Notedebasdepage">
    <w:name w:val="footnote text"/>
    <w:basedOn w:val="Normal"/>
    <w:link w:val="NotedebasdepageCar"/>
    <w:uiPriority w:val="99"/>
    <w:unhideWhenUsed/>
    <w:rsid w:val="008A3BFE"/>
  </w:style>
  <w:style w:type="character" w:customStyle="1" w:styleId="NotedebasdepageCar">
    <w:name w:val="Note de bas de page Car"/>
    <w:basedOn w:val="Policepardfaut"/>
    <w:link w:val="Notedebasdepage"/>
    <w:uiPriority w:val="99"/>
    <w:rsid w:val="008A3BFE"/>
    <w:rPr>
      <w:lang w:val="fr-FR"/>
    </w:rPr>
  </w:style>
  <w:style w:type="character" w:styleId="Marquenotebasdepage">
    <w:name w:val="footnote reference"/>
    <w:basedOn w:val="Policepardfaut"/>
    <w:uiPriority w:val="99"/>
    <w:unhideWhenUsed/>
    <w:rsid w:val="008A3BFE"/>
    <w:rPr>
      <w:vertAlign w:val="superscript"/>
    </w:rPr>
  </w:style>
  <w:style w:type="character" w:customStyle="1" w:styleId="st">
    <w:name w:val="st"/>
    <w:basedOn w:val="Policepardfaut"/>
    <w:rsid w:val="008A3BFE"/>
  </w:style>
  <w:style w:type="character" w:styleId="Lienhypertexte">
    <w:name w:val="Hyperlink"/>
    <w:basedOn w:val="Policepardfaut"/>
    <w:uiPriority w:val="99"/>
    <w:semiHidden/>
    <w:unhideWhenUsed/>
    <w:rsid w:val="008A3BFE"/>
    <w:rPr>
      <w:color w:val="0000FF" w:themeColor="hyperlink"/>
      <w:u w:val="single"/>
    </w:rPr>
  </w:style>
  <w:style w:type="character" w:styleId="Accentuation">
    <w:name w:val="Emphasis"/>
    <w:basedOn w:val="Policepardfaut"/>
    <w:uiPriority w:val="20"/>
    <w:rsid w:val="008A3BFE"/>
    <w:rPr>
      <w:i/>
    </w:rPr>
  </w:style>
  <w:style w:type="paragraph" w:styleId="Paragraphedeliste">
    <w:name w:val="List Paragraph"/>
    <w:basedOn w:val="Normal"/>
    <w:uiPriority w:val="34"/>
    <w:qFormat/>
    <w:rsid w:val="008A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2773</Words>
  <Characters>14282</Characters>
  <Application>Microsoft Macintosh Word</Application>
  <DocSecurity>0</DocSecurity>
  <Lines>375</Lines>
  <Paragraphs>116</Paragraphs>
  <ScaleCrop>false</ScaleCrop>
  <Company>EHESS</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Audoin-Rouzeau</dc:creator>
  <cp:keywords/>
  <cp:lastModifiedBy>* 2004</cp:lastModifiedBy>
  <cp:revision>17</cp:revision>
  <cp:lastPrinted>2018-11-15T13:28:00Z</cp:lastPrinted>
  <dcterms:created xsi:type="dcterms:W3CDTF">2018-11-15T13:24:00Z</dcterms:created>
  <dcterms:modified xsi:type="dcterms:W3CDTF">2018-11-15T18:55:00Z</dcterms:modified>
</cp:coreProperties>
</file>